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F3EDB">
      <w:pPr>
        <w:pStyle w:val="68"/>
        <w:spacing w:after="0" w:line="560" w:lineRule="exact"/>
        <w:rPr>
          <w:rFonts w:eastAsia="楷体_GB2312"/>
          <w:i/>
          <w:color w:val="FF0000"/>
          <w:lang w:eastAsia="zh-CN"/>
        </w:rPr>
      </w:pPr>
      <w:r>
        <w:rPr>
          <w:rFonts w:eastAsia="楷体_GB2312"/>
          <w:i/>
          <w:color w:val="FF0000"/>
          <w:lang w:eastAsia="zh-CN"/>
        </w:rPr>
        <w:t>【注：本合同版本根据人民银行、金融监管总局资产证券化相关规定以及交易商协会相关自律规则起草，作为微小企业贷款资产支持证券的标准范本供市场机构参考</w:t>
      </w:r>
      <w:r>
        <w:rPr>
          <w:rStyle w:val="34"/>
          <w:rFonts w:eastAsia="楷体_GB2312"/>
          <w:i/>
          <w:color w:val="FF0000"/>
          <w:lang w:eastAsia="zh-CN"/>
        </w:rPr>
        <w:footnoteReference w:id="0"/>
      </w:r>
      <w:r>
        <w:rPr>
          <w:rFonts w:eastAsia="楷体_GB2312"/>
          <w:i/>
          <w:color w:val="FF0000"/>
          <w:lang w:eastAsia="zh-CN"/>
        </w:rPr>
        <w:t>。开展微小企业贷款资产支持证券的贷款</w:t>
      </w:r>
      <w:r>
        <w:rPr>
          <w:rFonts w:eastAsia="楷体_GB2312"/>
          <w:i/>
          <w:color w:val="FF0000"/>
          <w:lang w:val="en-US" w:eastAsia="zh-CN"/>
        </w:rPr>
        <w:t>资产</w:t>
      </w:r>
      <w:r>
        <w:rPr>
          <w:rFonts w:eastAsia="楷体_GB2312"/>
          <w:i/>
          <w:color w:val="FF0000"/>
          <w:lang w:eastAsia="zh-CN"/>
        </w:rPr>
        <w:t>应符合相关监管要求及交易商协会相关自律规则。】</w:t>
      </w:r>
    </w:p>
    <w:p w14:paraId="17EB1FDE">
      <w:pPr>
        <w:pStyle w:val="68"/>
        <w:spacing w:after="0" w:line="560" w:lineRule="exact"/>
        <w:jc w:val="right"/>
        <w:rPr>
          <w:rFonts w:eastAsia="楷体_GB2312"/>
          <w:lang w:val="en-US" w:eastAsia="zh-CN"/>
        </w:rPr>
      </w:pPr>
      <w:r>
        <w:rPr>
          <w:rFonts w:eastAsia="楷体_GB2312"/>
          <w:lang w:val="en-US" w:eastAsia="zh-CN"/>
        </w:rPr>
        <w:t>合同编号：【信托合同编号】</w:t>
      </w:r>
    </w:p>
    <w:p w14:paraId="323245FD">
      <w:pPr>
        <w:spacing w:line="560" w:lineRule="exact"/>
        <w:jc w:val="right"/>
        <w:rPr>
          <w:rFonts w:eastAsia="楷体_GB2312"/>
          <w:b/>
          <w:bCs/>
          <w:sz w:val="24"/>
          <w:szCs w:val="24"/>
        </w:rPr>
      </w:pPr>
      <w:r>
        <w:rPr>
          <w:rFonts w:eastAsia="楷体_GB2312"/>
          <w:b/>
          <w:bCs/>
          <w:sz w:val="24"/>
          <w:szCs w:val="24"/>
        </w:rPr>
        <w:t>信托产品</w:t>
      </w:r>
      <w:r>
        <w:rPr>
          <w:rFonts w:hint="eastAsia" w:eastAsia="楷体_GB2312"/>
          <w:b/>
          <w:bCs/>
          <w:sz w:val="24"/>
          <w:szCs w:val="24"/>
        </w:rPr>
        <w:t>登记</w:t>
      </w:r>
      <w:r>
        <w:rPr>
          <w:rFonts w:eastAsia="楷体_GB2312"/>
          <w:b/>
          <w:bCs/>
          <w:sz w:val="24"/>
          <w:szCs w:val="24"/>
        </w:rPr>
        <w:t>编码：【】</w:t>
      </w:r>
    </w:p>
    <w:p w14:paraId="4DB3D98B">
      <w:pPr>
        <w:spacing w:line="560" w:lineRule="exact"/>
        <w:jc w:val="center"/>
        <w:rPr>
          <w:rFonts w:eastAsia="楷体_GB2312"/>
          <w:b/>
          <w:sz w:val="32"/>
          <w:szCs w:val="32"/>
        </w:rPr>
      </w:pPr>
    </w:p>
    <w:p w14:paraId="07AD9326">
      <w:pPr>
        <w:spacing w:line="560" w:lineRule="exact"/>
        <w:jc w:val="center"/>
        <w:rPr>
          <w:rFonts w:eastAsia="楷体_GB2312"/>
          <w:b/>
          <w:sz w:val="32"/>
          <w:szCs w:val="32"/>
        </w:rPr>
      </w:pPr>
    </w:p>
    <w:p w14:paraId="28F2D0A1">
      <w:pPr>
        <w:spacing w:line="560" w:lineRule="exact"/>
        <w:jc w:val="center"/>
        <w:rPr>
          <w:rFonts w:eastAsia="楷体_GB2312"/>
          <w:b/>
          <w:color w:val="000000"/>
          <w:sz w:val="36"/>
          <w:szCs w:val="36"/>
        </w:rPr>
      </w:pPr>
      <w:r>
        <w:rPr>
          <w:rFonts w:eastAsia="楷体_GB2312"/>
          <w:b/>
          <w:color w:val="000000"/>
          <w:sz w:val="36"/>
          <w:szCs w:val="36"/>
        </w:rPr>
        <w:t>【发起机构全称】</w:t>
      </w:r>
    </w:p>
    <w:p w14:paraId="063A7055">
      <w:pPr>
        <w:tabs>
          <w:tab w:val="left" w:pos="426"/>
          <w:tab w:val="left" w:pos="851"/>
        </w:tabs>
        <w:spacing w:line="560" w:lineRule="exact"/>
        <w:jc w:val="center"/>
        <w:rPr>
          <w:rFonts w:eastAsia="楷体_GB2312"/>
          <w:b/>
          <w:color w:val="000000"/>
          <w:sz w:val="24"/>
        </w:rPr>
      </w:pPr>
      <w:r>
        <w:rPr>
          <w:rFonts w:eastAsia="楷体_GB2312"/>
          <w:b/>
          <w:color w:val="000000"/>
          <w:sz w:val="24"/>
        </w:rPr>
        <w:t>（作为委托人和发起机构）</w:t>
      </w:r>
    </w:p>
    <w:p w14:paraId="0AF41711">
      <w:pPr>
        <w:spacing w:line="560" w:lineRule="exact"/>
        <w:jc w:val="center"/>
        <w:rPr>
          <w:rFonts w:eastAsia="楷体_GB2312"/>
          <w:b/>
          <w:color w:val="000000"/>
          <w:sz w:val="28"/>
          <w:szCs w:val="28"/>
        </w:rPr>
      </w:pPr>
    </w:p>
    <w:p w14:paraId="5125A4C4">
      <w:pPr>
        <w:spacing w:line="560" w:lineRule="exact"/>
        <w:jc w:val="center"/>
        <w:rPr>
          <w:rFonts w:eastAsia="楷体_GB2312"/>
          <w:b/>
          <w:color w:val="000000"/>
          <w:sz w:val="36"/>
          <w:szCs w:val="36"/>
        </w:rPr>
      </w:pPr>
      <w:r>
        <w:rPr>
          <w:rFonts w:eastAsia="楷体_GB2312"/>
          <w:b/>
          <w:color w:val="000000"/>
          <w:sz w:val="36"/>
          <w:szCs w:val="36"/>
        </w:rPr>
        <w:t>与</w:t>
      </w:r>
    </w:p>
    <w:p w14:paraId="2C2ED8E2">
      <w:pPr>
        <w:spacing w:line="560" w:lineRule="exact"/>
        <w:jc w:val="center"/>
        <w:rPr>
          <w:rFonts w:eastAsia="楷体_GB2312"/>
          <w:b/>
          <w:color w:val="000000"/>
          <w:sz w:val="28"/>
          <w:szCs w:val="28"/>
        </w:rPr>
      </w:pPr>
    </w:p>
    <w:p w14:paraId="1C431C3D">
      <w:pPr>
        <w:spacing w:line="560" w:lineRule="exact"/>
        <w:jc w:val="center"/>
        <w:rPr>
          <w:rFonts w:eastAsia="楷体_GB2312"/>
          <w:b/>
          <w:color w:val="000000"/>
          <w:sz w:val="36"/>
          <w:szCs w:val="36"/>
        </w:rPr>
      </w:pPr>
      <w:r>
        <w:rPr>
          <w:rFonts w:eastAsia="楷体_GB2312"/>
          <w:b/>
          <w:color w:val="000000"/>
          <w:sz w:val="36"/>
          <w:szCs w:val="36"/>
        </w:rPr>
        <w:t>【受托机构全称】</w:t>
      </w:r>
    </w:p>
    <w:p w14:paraId="559F043C">
      <w:pPr>
        <w:spacing w:line="560" w:lineRule="exact"/>
        <w:jc w:val="center"/>
        <w:rPr>
          <w:rFonts w:eastAsia="楷体_GB2312"/>
          <w:b/>
          <w:color w:val="000000"/>
          <w:sz w:val="24"/>
        </w:rPr>
      </w:pPr>
      <w:r>
        <w:rPr>
          <w:rFonts w:eastAsia="楷体_GB2312"/>
          <w:b/>
          <w:color w:val="000000"/>
          <w:sz w:val="24"/>
        </w:rPr>
        <w:t>（作为受托人、受托机构和发行人）</w:t>
      </w:r>
    </w:p>
    <w:p w14:paraId="507254DA">
      <w:pPr>
        <w:spacing w:line="560" w:lineRule="exact"/>
        <w:jc w:val="center"/>
        <w:rPr>
          <w:rFonts w:eastAsia="楷体_GB2312"/>
          <w:b/>
          <w:color w:val="000000"/>
          <w:szCs w:val="21"/>
        </w:rPr>
      </w:pPr>
    </w:p>
    <w:p w14:paraId="4D2E0DFB">
      <w:pPr>
        <w:spacing w:line="560" w:lineRule="exact"/>
        <w:jc w:val="center"/>
        <w:rPr>
          <w:rFonts w:eastAsia="楷体_GB2312"/>
          <w:b/>
          <w:color w:val="000000"/>
          <w:szCs w:val="21"/>
        </w:rPr>
      </w:pPr>
    </w:p>
    <w:p w14:paraId="7ADB2767">
      <w:pPr>
        <w:spacing w:line="560" w:lineRule="exact"/>
        <w:jc w:val="center"/>
        <w:rPr>
          <w:rFonts w:eastAsia="楷体_GB2312"/>
          <w:b/>
          <w:color w:val="000000"/>
          <w:sz w:val="36"/>
          <w:szCs w:val="36"/>
        </w:rPr>
      </w:pPr>
      <w:r>
        <w:rPr>
          <w:rFonts w:eastAsia="楷体_GB2312"/>
          <w:b/>
          <w:color w:val="000000"/>
          <w:sz w:val="36"/>
          <w:szCs w:val="36"/>
        </w:rPr>
        <w:t>【信托名称】</w:t>
      </w:r>
    </w:p>
    <w:p w14:paraId="448396B9">
      <w:pPr>
        <w:spacing w:line="560" w:lineRule="exact"/>
        <w:jc w:val="center"/>
        <w:rPr>
          <w:rFonts w:eastAsia="楷体_GB2312"/>
          <w:b/>
          <w:color w:val="000000"/>
          <w:sz w:val="36"/>
          <w:szCs w:val="36"/>
        </w:rPr>
      </w:pPr>
      <w:r>
        <w:rPr>
          <w:rFonts w:hint="eastAsia" w:eastAsia="楷体_GB2312"/>
          <w:b/>
          <w:color w:val="000000"/>
          <w:sz w:val="36"/>
          <w:szCs w:val="36"/>
        </w:rPr>
        <w:t>之</w:t>
      </w:r>
    </w:p>
    <w:p w14:paraId="073A1E3D">
      <w:pPr>
        <w:spacing w:line="560" w:lineRule="exact"/>
        <w:jc w:val="center"/>
        <w:rPr>
          <w:rFonts w:eastAsia="楷体_GB2312"/>
          <w:b/>
          <w:color w:val="000000"/>
          <w:sz w:val="36"/>
          <w:szCs w:val="36"/>
        </w:rPr>
      </w:pPr>
      <w:r>
        <w:rPr>
          <w:rFonts w:eastAsia="楷体_GB2312"/>
          <w:b/>
          <w:color w:val="000000"/>
          <w:sz w:val="36"/>
          <w:szCs w:val="36"/>
        </w:rPr>
        <w:t>信托合同</w:t>
      </w:r>
    </w:p>
    <w:p w14:paraId="5BA6B445">
      <w:pPr>
        <w:spacing w:line="560" w:lineRule="exact"/>
        <w:jc w:val="center"/>
        <w:rPr>
          <w:rFonts w:eastAsia="楷体_GB2312"/>
          <w:color w:val="000000"/>
          <w:sz w:val="28"/>
        </w:rPr>
      </w:pPr>
    </w:p>
    <w:p w14:paraId="255E980E">
      <w:pPr>
        <w:spacing w:line="560" w:lineRule="exact"/>
        <w:jc w:val="center"/>
        <w:rPr>
          <w:rFonts w:eastAsia="楷体_GB2312"/>
          <w:b/>
          <w:color w:val="000000"/>
          <w:sz w:val="28"/>
          <w:szCs w:val="28"/>
        </w:rPr>
      </w:pPr>
      <w:r>
        <w:rPr>
          <w:rFonts w:eastAsia="楷体_GB2312"/>
          <w:b/>
          <w:color w:val="000000"/>
          <w:sz w:val="28"/>
          <w:szCs w:val="28"/>
        </w:rPr>
        <w:t>中国</w:t>
      </w:r>
      <w:r>
        <w:rPr>
          <w:rFonts w:eastAsia="楷体_GB2312"/>
          <w:b/>
          <w:color w:val="000000"/>
          <w:sz w:val="28"/>
          <w:szCs w:val="28"/>
        </w:rPr>
        <w:tab/>
      </w:r>
      <w:r>
        <w:rPr>
          <w:rFonts w:eastAsia="楷体_GB2312"/>
          <w:b/>
          <w:bCs/>
          <w:color w:val="000000"/>
          <w:sz w:val="28"/>
          <w:szCs w:val="28"/>
        </w:rPr>
        <w:t>【  】</w:t>
      </w:r>
    </w:p>
    <w:p w14:paraId="38FC1486">
      <w:pPr>
        <w:spacing w:line="560" w:lineRule="exact"/>
        <w:jc w:val="center"/>
        <w:rPr>
          <w:rFonts w:eastAsia="楷体_GB2312"/>
          <w:color w:val="000000"/>
          <w:sz w:val="28"/>
          <w:szCs w:val="28"/>
        </w:rPr>
      </w:pPr>
      <w:r>
        <w:rPr>
          <w:rFonts w:eastAsia="楷体_GB2312"/>
          <w:b/>
          <w:bCs/>
          <w:color w:val="000000"/>
          <w:sz w:val="28"/>
          <w:szCs w:val="28"/>
        </w:rPr>
        <w:t>【  】年【  】</w:t>
      </w:r>
      <w:r>
        <w:rPr>
          <w:rFonts w:eastAsia="楷体_GB2312"/>
          <w:b/>
          <w:color w:val="000000"/>
          <w:sz w:val="28"/>
          <w:szCs w:val="28"/>
        </w:rPr>
        <w:t>月</w:t>
      </w:r>
    </w:p>
    <w:p w14:paraId="39AC1E70">
      <w:pPr>
        <w:pStyle w:val="88"/>
        <w:spacing w:before="0" w:line="560" w:lineRule="exact"/>
        <w:rPr>
          <w:rFonts w:eastAsia="楷体_GB2312"/>
          <w:sz w:val="28"/>
          <w:szCs w:val="28"/>
        </w:rPr>
        <w:sectPr>
          <w:footerReference r:id="rId6" w:type="first"/>
          <w:footerReference r:id="rId4" w:type="default"/>
          <w:footerReference r:id="rId5" w:type="even"/>
          <w:pgSz w:w="11906" w:h="16838"/>
          <w:pgMar w:top="1440" w:right="1800" w:bottom="1440" w:left="1800" w:header="851" w:footer="992" w:gutter="0"/>
          <w:pgNumType w:start="0"/>
          <w:cols w:space="720" w:num="1"/>
          <w:titlePg/>
          <w:docGrid w:type="lines" w:linePitch="312" w:charSpace="0"/>
        </w:sectPr>
      </w:pPr>
    </w:p>
    <w:p w14:paraId="1B188CA6">
      <w:pPr>
        <w:spacing w:line="380" w:lineRule="atLeast"/>
        <w:jc w:val="center"/>
        <w:rPr>
          <w:rFonts w:eastAsia="楷体_GB2312"/>
          <w:b/>
          <w:sz w:val="28"/>
          <w:szCs w:val="28"/>
        </w:rPr>
      </w:pPr>
      <w:r>
        <w:rPr>
          <w:rFonts w:eastAsia="楷体_GB2312"/>
          <w:b/>
          <w:sz w:val="28"/>
          <w:szCs w:val="28"/>
        </w:rPr>
        <w:t>目</w:t>
      </w:r>
      <w:r>
        <w:rPr>
          <w:rFonts w:eastAsia="楷体_GB2312"/>
          <w:b/>
          <w:sz w:val="28"/>
          <w:szCs w:val="28"/>
        </w:rPr>
        <w:tab/>
      </w:r>
      <w:r>
        <w:rPr>
          <w:rFonts w:eastAsia="楷体_GB2312"/>
          <w:b/>
          <w:sz w:val="28"/>
          <w:szCs w:val="28"/>
        </w:rPr>
        <w:t>录</w:t>
      </w:r>
    </w:p>
    <w:p w14:paraId="17D88D9B">
      <w:pPr>
        <w:pStyle w:val="17"/>
        <w:tabs>
          <w:tab w:val="right" w:leader="dot" w:pos="8306"/>
        </w:tabs>
        <w:rPr>
          <w:rFonts w:eastAsia="楷体_GB2312"/>
          <w:sz w:val="24"/>
          <w:szCs w:val="24"/>
        </w:rPr>
      </w:pPr>
      <w:r>
        <w:rPr>
          <w:rStyle w:val="32"/>
        </w:rPr>
        <w:fldChar w:fldCharType="begin"/>
      </w:r>
      <w:r>
        <w:rPr>
          <w:rStyle w:val="32"/>
          <w:rFonts w:eastAsia="楷体_GB2312"/>
          <w:sz w:val="24"/>
          <w:szCs w:val="24"/>
        </w:rPr>
        <w:instrText xml:space="preserve"> TOC \o "1-1" \h \z \u </w:instrText>
      </w:r>
      <w:r>
        <w:rPr>
          <w:rStyle w:val="32"/>
        </w:rPr>
        <w:fldChar w:fldCharType="separate"/>
      </w:r>
      <w:r>
        <w:fldChar w:fldCharType="begin"/>
      </w:r>
      <w:r>
        <w:instrText xml:space="preserve"> HYPERLINK \l "_Toc17732" </w:instrText>
      </w:r>
      <w:r>
        <w:fldChar w:fldCharType="separate"/>
      </w:r>
      <w:r>
        <w:rPr>
          <w:rFonts w:eastAsia="楷体_GB2312"/>
          <w:sz w:val="24"/>
          <w:szCs w:val="24"/>
        </w:rPr>
        <w:t>1 定义</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_Toc17732 \h </w:instrText>
      </w:r>
      <w:r>
        <w:rPr>
          <w:rFonts w:eastAsia="楷体_GB2312"/>
          <w:sz w:val="24"/>
          <w:szCs w:val="24"/>
        </w:rPr>
        <w:fldChar w:fldCharType="separate"/>
      </w:r>
      <w:r>
        <w:rPr>
          <w:rFonts w:eastAsia="楷体_GB2312"/>
          <w:sz w:val="24"/>
          <w:szCs w:val="24"/>
        </w:rPr>
        <w:t>3</w:t>
      </w:r>
      <w:r>
        <w:rPr>
          <w:rFonts w:eastAsia="楷体_GB2312"/>
          <w:sz w:val="24"/>
          <w:szCs w:val="24"/>
        </w:rPr>
        <w:fldChar w:fldCharType="end"/>
      </w:r>
      <w:r>
        <w:rPr>
          <w:rFonts w:eastAsia="楷体_GB2312"/>
          <w:sz w:val="24"/>
          <w:szCs w:val="24"/>
        </w:rPr>
        <w:fldChar w:fldCharType="end"/>
      </w:r>
    </w:p>
    <w:p w14:paraId="69BD29DB">
      <w:pPr>
        <w:pStyle w:val="17"/>
        <w:tabs>
          <w:tab w:val="right" w:leader="dot" w:pos="8306"/>
        </w:tabs>
        <w:rPr>
          <w:rFonts w:eastAsia="楷体_GB2312"/>
          <w:sz w:val="24"/>
          <w:szCs w:val="24"/>
        </w:rPr>
      </w:pPr>
      <w:r>
        <w:fldChar w:fldCharType="begin"/>
      </w:r>
      <w:r>
        <w:instrText xml:space="preserve"> HYPERLINK \l "_Toc30981" </w:instrText>
      </w:r>
      <w:r>
        <w:fldChar w:fldCharType="separate"/>
      </w:r>
      <w:r>
        <w:rPr>
          <w:rFonts w:eastAsia="楷体_GB2312"/>
          <w:sz w:val="24"/>
          <w:szCs w:val="24"/>
        </w:rPr>
        <w:t>2 信托目的</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_Toc30981 \h </w:instrText>
      </w:r>
      <w:r>
        <w:rPr>
          <w:rFonts w:eastAsia="楷体_GB2312"/>
          <w:sz w:val="24"/>
          <w:szCs w:val="24"/>
        </w:rPr>
        <w:fldChar w:fldCharType="separate"/>
      </w:r>
      <w:r>
        <w:rPr>
          <w:rFonts w:eastAsia="楷体_GB2312"/>
          <w:sz w:val="24"/>
          <w:szCs w:val="24"/>
        </w:rPr>
        <w:t>4</w:t>
      </w:r>
      <w:r>
        <w:rPr>
          <w:rFonts w:eastAsia="楷体_GB2312"/>
          <w:sz w:val="24"/>
          <w:szCs w:val="24"/>
        </w:rPr>
        <w:fldChar w:fldCharType="end"/>
      </w:r>
      <w:r>
        <w:rPr>
          <w:rFonts w:eastAsia="楷体_GB2312"/>
          <w:sz w:val="24"/>
          <w:szCs w:val="24"/>
        </w:rPr>
        <w:fldChar w:fldCharType="end"/>
      </w:r>
    </w:p>
    <w:p w14:paraId="18FB9964">
      <w:pPr>
        <w:pStyle w:val="17"/>
        <w:tabs>
          <w:tab w:val="right" w:leader="dot" w:pos="8306"/>
        </w:tabs>
        <w:rPr>
          <w:rFonts w:eastAsia="楷体_GB2312"/>
          <w:sz w:val="24"/>
          <w:szCs w:val="24"/>
        </w:rPr>
      </w:pPr>
      <w:r>
        <w:fldChar w:fldCharType="begin"/>
      </w:r>
      <w:r>
        <w:instrText xml:space="preserve"> HYPERLINK \l "_Toc11128" </w:instrText>
      </w:r>
      <w:r>
        <w:fldChar w:fldCharType="separate"/>
      </w:r>
      <w:r>
        <w:rPr>
          <w:rFonts w:eastAsia="楷体_GB2312"/>
          <w:sz w:val="24"/>
          <w:szCs w:val="24"/>
        </w:rPr>
        <w:t>3 信托的设立</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_Toc11128 \h </w:instrText>
      </w:r>
      <w:r>
        <w:rPr>
          <w:rFonts w:eastAsia="楷体_GB2312"/>
          <w:sz w:val="24"/>
          <w:szCs w:val="24"/>
        </w:rPr>
        <w:fldChar w:fldCharType="separate"/>
      </w:r>
      <w:r>
        <w:rPr>
          <w:rFonts w:eastAsia="楷体_GB2312"/>
          <w:sz w:val="24"/>
          <w:szCs w:val="24"/>
        </w:rPr>
        <w:t>4</w:t>
      </w:r>
      <w:r>
        <w:rPr>
          <w:rFonts w:eastAsia="楷体_GB2312"/>
          <w:sz w:val="24"/>
          <w:szCs w:val="24"/>
        </w:rPr>
        <w:fldChar w:fldCharType="end"/>
      </w:r>
      <w:r>
        <w:rPr>
          <w:rFonts w:eastAsia="楷体_GB2312"/>
          <w:sz w:val="24"/>
          <w:szCs w:val="24"/>
        </w:rPr>
        <w:fldChar w:fldCharType="end"/>
      </w:r>
    </w:p>
    <w:p w14:paraId="07385B36">
      <w:pPr>
        <w:pStyle w:val="17"/>
        <w:tabs>
          <w:tab w:val="right" w:leader="dot" w:pos="8306"/>
        </w:tabs>
        <w:rPr>
          <w:rFonts w:eastAsia="楷体_GB2312"/>
          <w:sz w:val="24"/>
          <w:szCs w:val="24"/>
        </w:rPr>
      </w:pPr>
      <w:r>
        <w:fldChar w:fldCharType="begin"/>
      </w:r>
      <w:r>
        <w:instrText xml:space="preserve"> HYPERLINK \l "_Toc3437" </w:instrText>
      </w:r>
      <w:r>
        <w:fldChar w:fldCharType="separate"/>
      </w:r>
      <w:r>
        <w:rPr>
          <w:rFonts w:eastAsia="楷体_GB2312"/>
          <w:sz w:val="24"/>
          <w:szCs w:val="24"/>
        </w:rPr>
        <w:t>4 委托人</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_Toc3437 \h </w:instrText>
      </w:r>
      <w:r>
        <w:rPr>
          <w:rFonts w:eastAsia="楷体_GB2312"/>
          <w:sz w:val="24"/>
          <w:szCs w:val="24"/>
        </w:rPr>
        <w:fldChar w:fldCharType="separate"/>
      </w:r>
      <w:r>
        <w:rPr>
          <w:rFonts w:eastAsia="楷体_GB2312"/>
          <w:sz w:val="24"/>
          <w:szCs w:val="24"/>
        </w:rPr>
        <w:t>15</w:t>
      </w:r>
      <w:r>
        <w:rPr>
          <w:rFonts w:eastAsia="楷体_GB2312"/>
          <w:sz w:val="24"/>
          <w:szCs w:val="24"/>
        </w:rPr>
        <w:fldChar w:fldCharType="end"/>
      </w:r>
      <w:r>
        <w:rPr>
          <w:rFonts w:eastAsia="楷体_GB2312"/>
          <w:sz w:val="24"/>
          <w:szCs w:val="24"/>
        </w:rPr>
        <w:fldChar w:fldCharType="end"/>
      </w:r>
    </w:p>
    <w:p w14:paraId="180FDDD8">
      <w:pPr>
        <w:pStyle w:val="17"/>
        <w:tabs>
          <w:tab w:val="right" w:leader="dot" w:pos="8306"/>
        </w:tabs>
        <w:rPr>
          <w:rFonts w:eastAsia="楷体_GB2312"/>
          <w:sz w:val="24"/>
          <w:szCs w:val="24"/>
        </w:rPr>
      </w:pPr>
      <w:r>
        <w:fldChar w:fldCharType="begin"/>
      </w:r>
      <w:r>
        <w:instrText xml:space="preserve"> HYPERLINK \l "_Toc5204" </w:instrText>
      </w:r>
      <w:r>
        <w:fldChar w:fldCharType="separate"/>
      </w:r>
      <w:r>
        <w:rPr>
          <w:rFonts w:eastAsia="楷体_GB2312"/>
          <w:sz w:val="24"/>
          <w:szCs w:val="24"/>
        </w:rPr>
        <w:t>5 受托人</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_Toc5204 \h </w:instrText>
      </w:r>
      <w:r>
        <w:rPr>
          <w:rFonts w:eastAsia="楷体_GB2312"/>
          <w:sz w:val="24"/>
          <w:szCs w:val="24"/>
        </w:rPr>
        <w:fldChar w:fldCharType="separate"/>
      </w:r>
      <w:r>
        <w:rPr>
          <w:rFonts w:eastAsia="楷体_GB2312"/>
          <w:sz w:val="24"/>
          <w:szCs w:val="24"/>
        </w:rPr>
        <w:t>24</w:t>
      </w:r>
      <w:r>
        <w:rPr>
          <w:rFonts w:eastAsia="楷体_GB2312"/>
          <w:sz w:val="24"/>
          <w:szCs w:val="24"/>
        </w:rPr>
        <w:fldChar w:fldCharType="end"/>
      </w:r>
      <w:r>
        <w:rPr>
          <w:rFonts w:eastAsia="楷体_GB2312"/>
          <w:sz w:val="24"/>
          <w:szCs w:val="24"/>
        </w:rPr>
        <w:fldChar w:fldCharType="end"/>
      </w:r>
    </w:p>
    <w:p w14:paraId="33BE55ED">
      <w:pPr>
        <w:pStyle w:val="17"/>
        <w:tabs>
          <w:tab w:val="right" w:leader="dot" w:pos="8306"/>
        </w:tabs>
        <w:rPr>
          <w:rFonts w:eastAsia="楷体_GB2312"/>
          <w:sz w:val="24"/>
          <w:szCs w:val="24"/>
        </w:rPr>
      </w:pPr>
      <w:r>
        <w:fldChar w:fldCharType="begin"/>
      </w:r>
      <w:r>
        <w:instrText xml:space="preserve"> HYPERLINK \l "_Toc28480" </w:instrText>
      </w:r>
      <w:r>
        <w:fldChar w:fldCharType="separate"/>
      </w:r>
      <w:r>
        <w:rPr>
          <w:rFonts w:eastAsia="楷体_GB2312"/>
          <w:sz w:val="24"/>
          <w:szCs w:val="24"/>
        </w:rPr>
        <w:t>6 受益人</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_Toc28480 \h </w:instrText>
      </w:r>
      <w:r>
        <w:rPr>
          <w:rFonts w:eastAsia="楷体_GB2312"/>
          <w:sz w:val="24"/>
          <w:szCs w:val="24"/>
        </w:rPr>
        <w:fldChar w:fldCharType="separate"/>
      </w:r>
      <w:r>
        <w:rPr>
          <w:rFonts w:eastAsia="楷体_GB2312"/>
          <w:sz w:val="24"/>
          <w:szCs w:val="24"/>
        </w:rPr>
        <w:t>29</w:t>
      </w:r>
      <w:r>
        <w:rPr>
          <w:rFonts w:eastAsia="楷体_GB2312"/>
          <w:sz w:val="24"/>
          <w:szCs w:val="24"/>
        </w:rPr>
        <w:fldChar w:fldCharType="end"/>
      </w:r>
      <w:r>
        <w:rPr>
          <w:rFonts w:eastAsia="楷体_GB2312"/>
          <w:sz w:val="24"/>
          <w:szCs w:val="24"/>
        </w:rPr>
        <w:fldChar w:fldCharType="end"/>
      </w:r>
    </w:p>
    <w:p w14:paraId="27F33041">
      <w:pPr>
        <w:pStyle w:val="17"/>
        <w:tabs>
          <w:tab w:val="right" w:leader="dot" w:pos="8306"/>
        </w:tabs>
        <w:rPr>
          <w:rFonts w:eastAsia="楷体_GB2312"/>
          <w:sz w:val="24"/>
          <w:szCs w:val="24"/>
        </w:rPr>
      </w:pPr>
      <w:r>
        <w:fldChar w:fldCharType="begin"/>
      </w:r>
      <w:r>
        <w:instrText xml:space="preserve"> HYPERLINK \l "_Toc28101" </w:instrText>
      </w:r>
      <w:r>
        <w:fldChar w:fldCharType="separate"/>
      </w:r>
      <w:r>
        <w:rPr>
          <w:rFonts w:eastAsia="楷体_GB2312"/>
          <w:sz w:val="24"/>
          <w:szCs w:val="24"/>
        </w:rPr>
        <w:t>7 信托受益权和资产支持证券</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_Toc28101 \h </w:instrText>
      </w:r>
      <w:r>
        <w:rPr>
          <w:rFonts w:eastAsia="楷体_GB2312"/>
          <w:sz w:val="24"/>
          <w:szCs w:val="24"/>
        </w:rPr>
        <w:fldChar w:fldCharType="separate"/>
      </w:r>
      <w:r>
        <w:rPr>
          <w:rFonts w:eastAsia="楷体_GB2312"/>
          <w:sz w:val="24"/>
          <w:szCs w:val="24"/>
        </w:rPr>
        <w:t>31</w:t>
      </w:r>
      <w:r>
        <w:rPr>
          <w:rFonts w:eastAsia="楷体_GB2312"/>
          <w:sz w:val="24"/>
          <w:szCs w:val="24"/>
        </w:rPr>
        <w:fldChar w:fldCharType="end"/>
      </w:r>
      <w:r>
        <w:rPr>
          <w:rFonts w:eastAsia="楷体_GB2312"/>
          <w:sz w:val="24"/>
          <w:szCs w:val="24"/>
        </w:rPr>
        <w:fldChar w:fldCharType="end"/>
      </w:r>
    </w:p>
    <w:p w14:paraId="378EE835">
      <w:pPr>
        <w:pStyle w:val="17"/>
        <w:tabs>
          <w:tab w:val="right" w:leader="dot" w:pos="8306"/>
        </w:tabs>
        <w:rPr>
          <w:rFonts w:eastAsia="楷体_GB2312"/>
          <w:sz w:val="24"/>
          <w:szCs w:val="24"/>
        </w:rPr>
      </w:pPr>
      <w:r>
        <w:fldChar w:fldCharType="begin"/>
      </w:r>
      <w:r>
        <w:instrText xml:space="preserve"> HYPERLINK \l "_Toc27080" </w:instrText>
      </w:r>
      <w:r>
        <w:fldChar w:fldCharType="separate"/>
      </w:r>
      <w:r>
        <w:rPr>
          <w:rFonts w:eastAsia="楷体_GB2312"/>
          <w:sz w:val="24"/>
          <w:szCs w:val="24"/>
        </w:rPr>
        <w:t>8 信托账户</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_Toc27080 \h </w:instrText>
      </w:r>
      <w:r>
        <w:rPr>
          <w:rFonts w:eastAsia="楷体_GB2312"/>
          <w:sz w:val="24"/>
          <w:szCs w:val="24"/>
        </w:rPr>
        <w:fldChar w:fldCharType="separate"/>
      </w:r>
      <w:r>
        <w:rPr>
          <w:rFonts w:eastAsia="楷体_GB2312"/>
          <w:sz w:val="24"/>
          <w:szCs w:val="24"/>
        </w:rPr>
        <w:t>40</w:t>
      </w:r>
      <w:r>
        <w:rPr>
          <w:rFonts w:eastAsia="楷体_GB2312"/>
          <w:sz w:val="24"/>
          <w:szCs w:val="24"/>
        </w:rPr>
        <w:fldChar w:fldCharType="end"/>
      </w:r>
      <w:r>
        <w:rPr>
          <w:rFonts w:eastAsia="楷体_GB2312"/>
          <w:sz w:val="24"/>
          <w:szCs w:val="24"/>
        </w:rPr>
        <w:fldChar w:fldCharType="end"/>
      </w:r>
    </w:p>
    <w:p w14:paraId="006F14BF">
      <w:pPr>
        <w:pStyle w:val="17"/>
        <w:tabs>
          <w:tab w:val="right" w:leader="dot" w:pos="8306"/>
        </w:tabs>
        <w:rPr>
          <w:rFonts w:eastAsia="楷体_GB2312"/>
          <w:sz w:val="24"/>
          <w:szCs w:val="24"/>
        </w:rPr>
      </w:pPr>
      <w:r>
        <w:fldChar w:fldCharType="begin"/>
      </w:r>
      <w:r>
        <w:instrText xml:space="preserve"> HYPERLINK \l "_Toc24254" </w:instrText>
      </w:r>
      <w:r>
        <w:fldChar w:fldCharType="separate"/>
      </w:r>
      <w:r>
        <w:rPr>
          <w:rFonts w:eastAsia="楷体_GB2312"/>
          <w:sz w:val="24"/>
          <w:szCs w:val="24"/>
        </w:rPr>
        <w:t>9 回收款的管理</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_Toc24254 \h </w:instrText>
      </w:r>
      <w:r>
        <w:rPr>
          <w:rFonts w:eastAsia="楷体_GB2312"/>
          <w:sz w:val="24"/>
          <w:szCs w:val="24"/>
        </w:rPr>
        <w:fldChar w:fldCharType="separate"/>
      </w:r>
      <w:r>
        <w:rPr>
          <w:rFonts w:eastAsia="楷体_GB2312"/>
          <w:sz w:val="24"/>
          <w:szCs w:val="24"/>
        </w:rPr>
        <w:t>41</w:t>
      </w:r>
      <w:r>
        <w:rPr>
          <w:rFonts w:eastAsia="楷体_GB2312"/>
          <w:sz w:val="24"/>
          <w:szCs w:val="24"/>
        </w:rPr>
        <w:fldChar w:fldCharType="end"/>
      </w:r>
      <w:r>
        <w:rPr>
          <w:rFonts w:eastAsia="楷体_GB2312"/>
          <w:sz w:val="24"/>
          <w:szCs w:val="24"/>
        </w:rPr>
        <w:fldChar w:fldCharType="end"/>
      </w:r>
    </w:p>
    <w:p w14:paraId="407B8E8C">
      <w:pPr>
        <w:pStyle w:val="17"/>
        <w:tabs>
          <w:tab w:val="right" w:leader="dot" w:pos="8306"/>
        </w:tabs>
        <w:rPr>
          <w:rFonts w:eastAsia="楷体_GB2312"/>
          <w:sz w:val="24"/>
          <w:szCs w:val="24"/>
        </w:rPr>
      </w:pPr>
      <w:r>
        <w:fldChar w:fldCharType="begin"/>
      </w:r>
      <w:r>
        <w:instrText xml:space="preserve"> HYPERLINK \l "_Toc5580" </w:instrText>
      </w:r>
      <w:r>
        <w:fldChar w:fldCharType="separate"/>
      </w:r>
      <w:r>
        <w:rPr>
          <w:rFonts w:eastAsia="楷体_GB2312"/>
          <w:sz w:val="24"/>
          <w:szCs w:val="24"/>
        </w:rPr>
        <w:t>10 信托账</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_Toc5580 \h </w:instrText>
      </w:r>
      <w:r>
        <w:rPr>
          <w:rFonts w:eastAsia="楷体_GB2312"/>
          <w:sz w:val="24"/>
          <w:szCs w:val="24"/>
        </w:rPr>
        <w:fldChar w:fldCharType="separate"/>
      </w:r>
      <w:r>
        <w:rPr>
          <w:rFonts w:eastAsia="楷体_GB2312"/>
          <w:sz w:val="24"/>
          <w:szCs w:val="24"/>
        </w:rPr>
        <w:t>41</w:t>
      </w:r>
      <w:r>
        <w:rPr>
          <w:rFonts w:eastAsia="楷体_GB2312"/>
          <w:sz w:val="24"/>
          <w:szCs w:val="24"/>
        </w:rPr>
        <w:fldChar w:fldCharType="end"/>
      </w:r>
      <w:r>
        <w:rPr>
          <w:rFonts w:eastAsia="楷体_GB2312"/>
          <w:sz w:val="24"/>
          <w:szCs w:val="24"/>
        </w:rPr>
        <w:fldChar w:fldCharType="end"/>
      </w:r>
    </w:p>
    <w:p w14:paraId="5F185C50">
      <w:pPr>
        <w:pStyle w:val="17"/>
        <w:tabs>
          <w:tab w:val="right" w:leader="dot" w:pos="8306"/>
        </w:tabs>
        <w:rPr>
          <w:rFonts w:eastAsia="楷体_GB2312"/>
          <w:sz w:val="24"/>
          <w:szCs w:val="24"/>
        </w:rPr>
      </w:pPr>
      <w:r>
        <w:fldChar w:fldCharType="begin"/>
      </w:r>
      <w:r>
        <w:instrText xml:space="preserve"> HYPERLINK \l "_Toc31744" </w:instrText>
      </w:r>
      <w:r>
        <w:fldChar w:fldCharType="separate"/>
      </w:r>
      <w:r>
        <w:rPr>
          <w:rFonts w:eastAsia="楷体_GB2312"/>
          <w:sz w:val="24"/>
          <w:szCs w:val="24"/>
        </w:rPr>
        <w:t>11 信托财产的管理方法</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_Toc31744 \h </w:instrText>
      </w:r>
      <w:r>
        <w:rPr>
          <w:rFonts w:eastAsia="楷体_GB2312"/>
          <w:sz w:val="24"/>
          <w:szCs w:val="24"/>
        </w:rPr>
        <w:fldChar w:fldCharType="separate"/>
      </w:r>
      <w:r>
        <w:rPr>
          <w:rFonts w:eastAsia="楷体_GB2312"/>
          <w:sz w:val="24"/>
          <w:szCs w:val="24"/>
        </w:rPr>
        <w:t>50</w:t>
      </w:r>
      <w:r>
        <w:rPr>
          <w:rFonts w:eastAsia="楷体_GB2312"/>
          <w:sz w:val="24"/>
          <w:szCs w:val="24"/>
        </w:rPr>
        <w:fldChar w:fldCharType="end"/>
      </w:r>
      <w:r>
        <w:rPr>
          <w:rFonts w:eastAsia="楷体_GB2312"/>
          <w:sz w:val="24"/>
          <w:szCs w:val="24"/>
        </w:rPr>
        <w:fldChar w:fldCharType="end"/>
      </w:r>
    </w:p>
    <w:p w14:paraId="449A4AFE">
      <w:pPr>
        <w:pStyle w:val="17"/>
        <w:tabs>
          <w:tab w:val="right" w:leader="dot" w:pos="8306"/>
        </w:tabs>
        <w:rPr>
          <w:rFonts w:eastAsia="楷体_GB2312"/>
          <w:sz w:val="24"/>
          <w:szCs w:val="24"/>
        </w:rPr>
      </w:pPr>
      <w:r>
        <w:fldChar w:fldCharType="begin"/>
      </w:r>
      <w:r>
        <w:instrText xml:space="preserve"> HYPERLINK \l "_Toc32705" </w:instrText>
      </w:r>
      <w:r>
        <w:fldChar w:fldCharType="separate"/>
      </w:r>
      <w:r>
        <w:rPr>
          <w:rFonts w:eastAsia="楷体_GB2312"/>
          <w:sz w:val="24"/>
          <w:szCs w:val="24"/>
        </w:rPr>
        <w:t>12 不合格信贷资产的赎回</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_Toc32705 \h </w:instrText>
      </w:r>
      <w:r>
        <w:rPr>
          <w:rFonts w:eastAsia="楷体_GB2312"/>
          <w:sz w:val="24"/>
          <w:szCs w:val="24"/>
        </w:rPr>
        <w:fldChar w:fldCharType="separate"/>
      </w:r>
      <w:r>
        <w:rPr>
          <w:rFonts w:eastAsia="楷体_GB2312"/>
          <w:sz w:val="24"/>
          <w:szCs w:val="24"/>
        </w:rPr>
        <w:t>53</w:t>
      </w:r>
      <w:r>
        <w:rPr>
          <w:rFonts w:eastAsia="楷体_GB2312"/>
          <w:sz w:val="24"/>
          <w:szCs w:val="24"/>
        </w:rPr>
        <w:fldChar w:fldCharType="end"/>
      </w:r>
      <w:r>
        <w:rPr>
          <w:rFonts w:eastAsia="楷体_GB2312"/>
          <w:sz w:val="24"/>
          <w:szCs w:val="24"/>
        </w:rPr>
        <w:fldChar w:fldCharType="end"/>
      </w:r>
    </w:p>
    <w:p w14:paraId="6E3BDB9F">
      <w:pPr>
        <w:pStyle w:val="17"/>
        <w:tabs>
          <w:tab w:val="right" w:leader="dot" w:pos="8306"/>
        </w:tabs>
        <w:rPr>
          <w:rFonts w:eastAsia="楷体_GB2312"/>
          <w:sz w:val="24"/>
          <w:szCs w:val="24"/>
        </w:rPr>
      </w:pPr>
      <w:r>
        <w:fldChar w:fldCharType="begin"/>
      </w:r>
      <w:r>
        <w:instrText xml:space="preserve"> HYPERLINK \l "_Toc2068" </w:instrText>
      </w:r>
      <w:r>
        <w:fldChar w:fldCharType="separate"/>
      </w:r>
      <w:r>
        <w:rPr>
          <w:rFonts w:eastAsia="楷体_GB2312"/>
          <w:sz w:val="24"/>
          <w:szCs w:val="24"/>
        </w:rPr>
        <w:t>13 受托人辞任、解任、更换和持续管理义务</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_Toc2068 \h </w:instrText>
      </w:r>
      <w:r>
        <w:rPr>
          <w:rFonts w:eastAsia="楷体_GB2312"/>
          <w:sz w:val="24"/>
          <w:szCs w:val="24"/>
        </w:rPr>
        <w:fldChar w:fldCharType="separate"/>
      </w:r>
      <w:r>
        <w:rPr>
          <w:rFonts w:eastAsia="楷体_GB2312"/>
          <w:sz w:val="24"/>
          <w:szCs w:val="24"/>
        </w:rPr>
        <w:t>54</w:t>
      </w:r>
      <w:r>
        <w:rPr>
          <w:rFonts w:eastAsia="楷体_GB2312"/>
          <w:sz w:val="24"/>
          <w:szCs w:val="24"/>
        </w:rPr>
        <w:fldChar w:fldCharType="end"/>
      </w:r>
      <w:r>
        <w:rPr>
          <w:rFonts w:eastAsia="楷体_GB2312"/>
          <w:sz w:val="24"/>
          <w:szCs w:val="24"/>
        </w:rPr>
        <w:fldChar w:fldCharType="end"/>
      </w:r>
    </w:p>
    <w:p w14:paraId="09654B71">
      <w:pPr>
        <w:pStyle w:val="17"/>
        <w:tabs>
          <w:tab w:val="right" w:leader="dot" w:pos="8306"/>
        </w:tabs>
        <w:rPr>
          <w:rFonts w:eastAsia="楷体_GB2312"/>
          <w:sz w:val="24"/>
          <w:szCs w:val="24"/>
        </w:rPr>
      </w:pPr>
      <w:r>
        <w:fldChar w:fldCharType="begin"/>
      </w:r>
      <w:r>
        <w:instrText xml:space="preserve"> HYPERLINK \l "_Toc20552" </w:instrText>
      </w:r>
      <w:r>
        <w:fldChar w:fldCharType="separate"/>
      </w:r>
      <w:r>
        <w:rPr>
          <w:rFonts w:eastAsia="楷体_GB2312"/>
          <w:sz w:val="24"/>
          <w:szCs w:val="24"/>
        </w:rPr>
        <w:t>14 清仓回购</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_Toc20552 \h </w:instrText>
      </w:r>
      <w:r>
        <w:rPr>
          <w:rFonts w:eastAsia="楷体_GB2312"/>
          <w:sz w:val="24"/>
          <w:szCs w:val="24"/>
        </w:rPr>
        <w:fldChar w:fldCharType="separate"/>
      </w:r>
      <w:r>
        <w:rPr>
          <w:rFonts w:eastAsia="楷体_GB2312"/>
          <w:sz w:val="24"/>
          <w:szCs w:val="24"/>
        </w:rPr>
        <w:t>56</w:t>
      </w:r>
      <w:r>
        <w:rPr>
          <w:rFonts w:eastAsia="楷体_GB2312"/>
          <w:sz w:val="24"/>
          <w:szCs w:val="24"/>
        </w:rPr>
        <w:fldChar w:fldCharType="end"/>
      </w:r>
      <w:r>
        <w:rPr>
          <w:rFonts w:eastAsia="楷体_GB2312"/>
          <w:sz w:val="24"/>
          <w:szCs w:val="24"/>
        </w:rPr>
        <w:fldChar w:fldCharType="end"/>
      </w:r>
    </w:p>
    <w:p w14:paraId="0E0BD817">
      <w:pPr>
        <w:pStyle w:val="17"/>
        <w:tabs>
          <w:tab w:val="right" w:leader="dot" w:pos="8306"/>
        </w:tabs>
        <w:rPr>
          <w:rFonts w:eastAsia="楷体_GB2312"/>
          <w:sz w:val="24"/>
          <w:szCs w:val="24"/>
        </w:rPr>
      </w:pPr>
      <w:r>
        <w:fldChar w:fldCharType="begin"/>
      </w:r>
      <w:r>
        <w:instrText xml:space="preserve"> HYPERLINK \l "_Toc16467" </w:instrText>
      </w:r>
      <w:r>
        <w:fldChar w:fldCharType="separate"/>
      </w:r>
      <w:r>
        <w:rPr>
          <w:rFonts w:eastAsia="楷体_GB2312"/>
          <w:sz w:val="24"/>
          <w:szCs w:val="24"/>
        </w:rPr>
        <w:t>15 信托的核算</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_Toc16467 \h </w:instrText>
      </w:r>
      <w:r>
        <w:rPr>
          <w:rFonts w:eastAsia="楷体_GB2312"/>
          <w:sz w:val="24"/>
          <w:szCs w:val="24"/>
        </w:rPr>
        <w:fldChar w:fldCharType="separate"/>
      </w:r>
      <w:r>
        <w:rPr>
          <w:rFonts w:eastAsia="楷体_GB2312"/>
          <w:sz w:val="24"/>
          <w:szCs w:val="24"/>
        </w:rPr>
        <w:t>58</w:t>
      </w:r>
      <w:r>
        <w:rPr>
          <w:rFonts w:eastAsia="楷体_GB2312"/>
          <w:sz w:val="24"/>
          <w:szCs w:val="24"/>
        </w:rPr>
        <w:fldChar w:fldCharType="end"/>
      </w:r>
      <w:r>
        <w:rPr>
          <w:rFonts w:eastAsia="楷体_GB2312"/>
          <w:sz w:val="24"/>
          <w:szCs w:val="24"/>
        </w:rPr>
        <w:fldChar w:fldCharType="end"/>
      </w:r>
    </w:p>
    <w:p w14:paraId="776D9A02">
      <w:pPr>
        <w:pStyle w:val="17"/>
        <w:tabs>
          <w:tab w:val="right" w:leader="dot" w:pos="8306"/>
        </w:tabs>
        <w:rPr>
          <w:rFonts w:eastAsia="楷体_GB2312"/>
          <w:sz w:val="24"/>
          <w:szCs w:val="24"/>
        </w:rPr>
      </w:pPr>
      <w:r>
        <w:fldChar w:fldCharType="begin"/>
      </w:r>
      <w:r>
        <w:instrText xml:space="preserve"> HYPERLINK \l "_Toc4522" </w:instrText>
      </w:r>
      <w:r>
        <w:fldChar w:fldCharType="separate"/>
      </w:r>
      <w:r>
        <w:rPr>
          <w:rFonts w:eastAsia="楷体_GB2312"/>
          <w:sz w:val="24"/>
          <w:szCs w:val="24"/>
        </w:rPr>
        <w:t>16 费用的负担</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_Toc4522 \h </w:instrText>
      </w:r>
      <w:r>
        <w:rPr>
          <w:rFonts w:eastAsia="楷体_GB2312"/>
          <w:sz w:val="24"/>
          <w:szCs w:val="24"/>
        </w:rPr>
        <w:fldChar w:fldCharType="separate"/>
      </w:r>
      <w:r>
        <w:rPr>
          <w:rFonts w:eastAsia="楷体_GB2312"/>
          <w:sz w:val="24"/>
          <w:szCs w:val="24"/>
        </w:rPr>
        <w:t>59</w:t>
      </w:r>
      <w:r>
        <w:rPr>
          <w:rFonts w:eastAsia="楷体_GB2312"/>
          <w:sz w:val="24"/>
          <w:szCs w:val="24"/>
        </w:rPr>
        <w:fldChar w:fldCharType="end"/>
      </w:r>
      <w:r>
        <w:rPr>
          <w:rFonts w:eastAsia="楷体_GB2312"/>
          <w:sz w:val="24"/>
          <w:szCs w:val="24"/>
        </w:rPr>
        <w:fldChar w:fldCharType="end"/>
      </w:r>
    </w:p>
    <w:p w14:paraId="42BA2CA6">
      <w:pPr>
        <w:pStyle w:val="17"/>
        <w:tabs>
          <w:tab w:val="right" w:leader="dot" w:pos="8306"/>
        </w:tabs>
        <w:rPr>
          <w:rFonts w:eastAsia="楷体_GB2312"/>
          <w:sz w:val="24"/>
          <w:szCs w:val="24"/>
        </w:rPr>
      </w:pPr>
      <w:r>
        <w:fldChar w:fldCharType="begin"/>
      </w:r>
      <w:r>
        <w:instrText xml:space="preserve"> HYPERLINK \l "_Toc1773" </w:instrText>
      </w:r>
      <w:r>
        <w:fldChar w:fldCharType="separate"/>
      </w:r>
      <w:r>
        <w:rPr>
          <w:rFonts w:eastAsia="楷体_GB2312"/>
          <w:sz w:val="24"/>
          <w:szCs w:val="24"/>
        </w:rPr>
        <w:t>17 税负承担</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_Toc1773 \h </w:instrText>
      </w:r>
      <w:r>
        <w:rPr>
          <w:rFonts w:eastAsia="楷体_GB2312"/>
          <w:sz w:val="24"/>
          <w:szCs w:val="24"/>
        </w:rPr>
        <w:fldChar w:fldCharType="separate"/>
      </w:r>
      <w:r>
        <w:rPr>
          <w:rFonts w:eastAsia="楷体_GB2312"/>
          <w:sz w:val="24"/>
          <w:szCs w:val="24"/>
        </w:rPr>
        <w:t>61</w:t>
      </w:r>
      <w:r>
        <w:rPr>
          <w:rFonts w:eastAsia="楷体_GB2312"/>
          <w:sz w:val="24"/>
          <w:szCs w:val="24"/>
        </w:rPr>
        <w:fldChar w:fldCharType="end"/>
      </w:r>
      <w:r>
        <w:rPr>
          <w:rFonts w:eastAsia="楷体_GB2312"/>
          <w:sz w:val="24"/>
          <w:szCs w:val="24"/>
        </w:rPr>
        <w:fldChar w:fldCharType="end"/>
      </w:r>
    </w:p>
    <w:p w14:paraId="7B4FA1C3">
      <w:pPr>
        <w:pStyle w:val="17"/>
        <w:tabs>
          <w:tab w:val="right" w:leader="dot" w:pos="8306"/>
        </w:tabs>
        <w:rPr>
          <w:rFonts w:eastAsia="楷体_GB2312"/>
          <w:sz w:val="24"/>
          <w:szCs w:val="24"/>
        </w:rPr>
      </w:pPr>
      <w:r>
        <w:fldChar w:fldCharType="begin"/>
      </w:r>
      <w:r>
        <w:instrText xml:space="preserve"> HYPERLINK \l "_Toc16954" </w:instrText>
      </w:r>
      <w:r>
        <w:fldChar w:fldCharType="separate"/>
      </w:r>
      <w:r>
        <w:rPr>
          <w:rFonts w:eastAsia="楷体_GB2312"/>
          <w:sz w:val="24"/>
          <w:szCs w:val="24"/>
        </w:rPr>
        <w:t>18 资产支持证券持有人大会组成与权利</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_Toc16954 \h </w:instrText>
      </w:r>
      <w:r>
        <w:rPr>
          <w:rFonts w:eastAsia="楷体_GB2312"/>
          <w:sz w:val="24"/>
          <w:szCs w:val="24"/>
        </w:rPr>
        <w:fldChar w:fldCharType="separate"/>
      </w:r>
      <w:r>
        <w:rPr>
          <w:rFonts w:eastAsia="楷体_GB2312"/>
          <w:sz w:val="24"/>
          <w:szCs w:val="24"/>
        </w:rPr>
        <w:t>61</w:t>
      </w:r>
      <w:r>
        <w:rPr>
          <w:rFonts w:eastAsia="楷体_GB2312"/>
          <w:sz w:val="24"/>
          <w:szCs w:val="24"/>
        </w:rPr>
        <w:fldChar w:fldCharType="end"/>
      </w:r>
      <w:r>
        <w:rPr>
          <w:rFonts w:eastAsia="楷体_GB2312"/>
          <w:sz w:val="24"/>
          <w:szCs w:val="24"/>
        </w:rPr>
        <w:fldChar w:fldCharType="end"/>
      </w:r>
    </w:p>
    <w:p w14:paraId="38FD9E4A">
      <w:pPr>
        <w:pStyle w:val="17"/>
        <w:tabs>
          <w:tab w:val="right" w:leader="dot" w:pos="8306"/>
        </w:tabs>
        <w:rPr>
          <w:rFonts w:eastAsia="楷体_GB2312"/>
          <w:sz w:val="24"/>
          <w:szCs w:val="24"/>
        </w:rPr>
      </w:pPr>
      <w:r>
        <w:fldChar w:fldCharType="begin"/>
      </w:r>
      <w:r>
        <w:instrText xml:space="preserve"> HYPERLINK \l "_Toc31301" </w:instrText>
      </w:r>
      <w:r>
        <w:fldChar w:fldCharType="separate"/>
      </w:r>
      <w:r>
        <w:rPr>
          <w:rFonts w:eastAsia="楷体_GB2312"/>
          <w:sz w:val="24"/>
          <w:szCs w:val="24"/>
        </w:rPr>
        <w:t>19 审计监督和跟踪评级</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_Toc31301 \h </w:instrText>
      </w:r>
      <w:r>
        <w:rPr>
          <w:rFonts w:eastAsia="楷体_GB2312"/>
          <w:sz w:val="24"/>
          <w:szCs w:val="24"/>
        </w:rPr>
        <w:fldChar w:fldCharType="separate"/>
      </w:r>
      <w:r>
        <w:rPr>
          <w:rFonts w:eastAsia="楷体_GB2312"/>
          <w:sz w:val="24"/>
          <w:szCs w:val="24"/>
        </w:rPr>
        <w:t>68</w:t>
      </w:r>
      <w:r>
        <w:rPr>
          <w:rFonts w:eastAsia="楷体_GB2312"/>
          <w:sz w:val="24"/>
          <w:szCs w:val="24"/>
        </w:rPr>
        <w:fldChar w:fldCharType="end"/>
      </w:r>
      <w:r>
        <w:rPr>
          <w:rFonts w:eastAsia="楷体_GB2312"/>
          <w:sz w:val="24"/>
          <w:szCs w:val="24"/>
        </w:rPr>
        <w:fldChar w:fldCharType="end"/>
      </w:r>
    </w:p>
    <w:p w14:paraId="74AE5ED0">
      <w:pPr>
        <w:pStyle w:val="17"/>
        <w:tabs>
          <w:tab w:val="right" w:leader="dot" w:pos="8306"/>
        </w:tabs>
        <w:rPr>
          <w:rFonts w:eastAsia="楷体_GB2312"/>
          <w:sz w:val="24"/>
          <w:szCs w:val="24"/>
        </w:rPr>
      </w:pPr>
      <w:r>
        <w:fldChar w:fldCharType="begin"/>
      </w:r>
      <w:r>
        <w:instrText xml:space="preserve"> HYPERLINK \l "_Toc8898" </w:instrText>
      </w:r>
      <w:r>
        <w:fldChar w:fldCharType="separate"/>
      </w:r>
      <w:r>
        <w:rPr>
          <w:rFonts w:eastAsia="楷体_GB2312"/>
          <w:sz w:val="24"/>
          <w:szCs w:val="24"/>
        </w:rPr>
        <w:t>20 风险承担</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_Toc8898 \h </w:instrText>
      </w:r>
      <w:r>
        <w:rPr>
          <w:rFonts w:eastAsia="楷体_GB2312"/>
          <w:sz w:val="24"/>
          <w:szCs w:val="24"/>
        </w:rPr>
        <w:fldChar w:fldCharType="separate"/>
      </w:r>
      <w:r>
        <w:rPr>
          <w:rFonts w:eastAsia="楷体_GB2312"/>
          <w:sz w:val="24"/>
          <w:szCs w:val="24"/>
        </w:rPr>
        <w:t>68</w:t>
      </w:r>
      <w:r>
        <w:rPr>
          <w:rFonts w:eastAsia="楷体_GB2312"/>
          <w:sz w:val="24"/>
          <w:szCs w:val="24"/>
        </w:rPr>
        <w:fldChar w:fldCharType="end"/>
      </w:r>
      <w:r>
        <w:rPr>
          <w:rFonts w:eastAsia="楷体_GB2312"/>
          <w:sz w:val="24"/>
          <w:szCs w:val="24"/>
        </w:rPr>
        <w:fldChar w:fldCharType="end"/>
      </w:r>
    </w:p>
    <w:p w14:paraId="60783AE9">
      <w:pPr>
        <w:pStyle w:val="17"/>
        <w:tabs>
          <w:tab w:val="right" w:leader="dot" w:pos="8306"/>
        </w:tabs>
        <w:rPr>
          <w:rFonts w:eastAsia="楷体_GB2312"/>
          <w:sz w:val="24"/>
          <w:szCs w:val="24"/>
        </w:rPr>
      </w:pPr>
      <w:r>
        <w:fldChar w:fldCharType="begin"/>
      </w:r>
      <w:r>
        <w:instrText xml:space="preserve"> HYPERLINK \l "_Toc19491" </w:instrText>
      </w:r>
      <w:r>
        <w:fldChar w:fldCharType="separate"/>
      </w:r>
      <w:r>
        <w:rPr>
          <w:rFonts w:eastAsia="楷体_GB2312"/>
          <w:sz w:val="24"/>
          <w:szCs w:val="24"/>
        </w:rPr>
        <w:t>21 信息披露</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_Toc19491 \h </w:instrText>
      </w:r>
      <w:r>
        <w:rPr>
          <w:rFonts w:eastAsia="楷体_GB2312"/>
          <w:sz w:val="24"/>
          <w:szCs w:val="24"/>
        </w:rPr>
        <w:fldChar w:fldCharType="separate"/>
      </w:r>
      <w:r>
        <w:rPr>
          <w:rFonts w:eastAsia="楷体_GB2312"/>
          <w:sz w:val="24"/>
          <w:szCs w:val="24"/>
        </w:rPr>
        <w:t>70</w:t>
      </w:r>
      <w:r>
        <w:rPr>
          <w:rFonts w:eastAsia="楷体_GB2312"/>
          <w:sz w:val="24"/>
          <w:szCs w:val="24"/>
        </w:rPr>
        <w:fldChar w:fldCharType="end"/>
      </w:r>
      <w:r>
        <w:rPr>
          <w:rFonts w:eastAsia="楷体_GB2312"/>
          <w:sz w:val="24"/>
          <w:szCs w:val="24"/>
        </w:rPr>
        <w:fldChar w:fldCharType="end"/>
      </w:r>
    </w:p>
    <w:p w14:paraId="7F78E577">
      <w:pPr>
        <w:pStyle w:val="17"/>
        <w:tabs>
          <w:tab w:val="right" w:leader="dot" w:pos="8306"/>
        </w:tabs>
        <w:rPr>
          <w:rFonts w:eastAsia="楷体_GB2312"/>
          <w:sz w:val="24"/>
          <w:szCs w:val="24"/>
        </w:rPr>
      </w:pPr>
      <w:r>
        <w:fldChar w:fldCharType="begin"/>
      </w:r>
      <w:r>
        <w:instrText xml:space="preserve"> HYPERLINK \l "_Toc26985" </w:instrText>
      </w:r>
      <w:r>
        <w:fldChar w:fldCharType="separate"/>
      </w:r>
      <w:r>
        <w:rPr>
          <w:rFonts w:eastAsia="楷体_GB2312"/>
          <w:sz w:val="24"/>
          <w:szCs w:val="24"/>
        </w:rPr>
        <w:t>22 信托的生效、变更和终止</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_Toc26985 \h </w:instrText>
      </w:r>
      <w:r>
        <w:rPr>
          <w:rFonts w:eastAsia="楷体_GB2312"/>
          <w:sz w:val="24"/>
          <w:szCs w:val="24"/>
        </w:rPr>
        <w:fldChar w:fldCharType="separate"/>
      </w:r>
      <w:r>
        <w:rPr>
          <w:rFonts w:eastAsia="楷体_GB2312"/>
          <w:sz w:val="24"/>
          <w:szCs w:val="24"/>
        </w:rPr>
        <w:t>72</w:t>
      </w:r>
      <w:r>
        <w:rPr>
          <w:rFonts w:eastAsia="楷体_GB2312"/>
          <w:sz w:val="24"/>
          <w:szCs w:val="24"/>
        </w:rPr>
        <w:fldChar w:fldCharType="end"/>
      </w:r>
      <w:r>
        <w:rPr>
          <w:rFonts w:eastAsia="楷体_GB2312"/>
          <w:sz w:val="24"/>
          <w:szCs w:val="24"/>
        </w:rPr>
        <w:fldChar w:fldCharType="end"/>
      </w:r>
    </w:p>
    <w:p w14:paraId="5C080ADA">
      <w:pPr>
        <w:pStyle w:val="17"/>
        <w:tabs>
          <w:tab w:val="right" w:leader="dot" w:pos="8306"/>
        </w:tabs>
        <w:rPr>
          <w:rFonts w:eastAsia="楷体_GB2312"/>
          <w:sz w:val="24"/>
          <w:szCs w:val="24"/>
        </w:rPr>
      </w:pPr>
      <w:r>
        <w:fldChar w:fldCharType="begin"/>
      </w:r>
      <w:r>
        <w:instrText xml:space="preserve">HYPERLINK \l "_Toc32651"</w:instrText>
      </w:r>
      <w:r>
        <w:fldChar w:fldCharType="separate"/>
      </w:r>
      <w:r>
        <w:rPr>
          <w:rFonts w:eastAsia="楷体_GB2312"/>
          <w:sz w:val="24"/>
          <w:szCs w:val="24"/>
        </w:rPr>
        <w:t>23 信托的清算</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_Toc32651 \h </w:instrText>
      </w:r>
      <w:r>
        <w:rPr>
          <w:rFonts w:eastAsia="楷体_GB2312"/>
          <w:sz w:val="24"/>
          <w:szCs w:val="24"/>
        </w:rPr>
        <w:fldChar w:fldCharType="separate"/>
      </w:r>
      <w:r>
        <w:rPr>
          <w:rFonts w:eastAsia="楷体_GB2312"/>
          <w:sz w:val="24"/>
          <w:szCs w:val="24"/>
        </w:rPr>
        <w:t>74</w:t>
      </w:r>
      <w:r>
        <w:rPr>
          <w:rFonts w:eastAsia="楷体_GB2312"/>
          <w:sz w:val="24"/>
          <w:szCs w:val="24"/>
        </w:rPr>
        <w:fldChar w:fldCharType="end"/>
      </w:r>
      <w:r>
        <w:fldChar w:fldCharType="end"/>
      </w:r>
    </w:p>
    <w:p w14:paraId="3B953A84">
      <w:pPr>
        <w:pStyle w:val="17"/>
        <w:tabs>
          <w:tab w:val="right" w:leader="dot" w:pos="8306"/>
        </w:tabs>
        <w:rPr>
          <w:rFonts w:eastAsia="楷体_GB2312"/>
          <w:sz w:val="24"/>
          <w:szCs w:val="24"/>
        </w:rPr>
      </w:pPr>
      <w:r>
        <w:fldChar w:fldCharType="begin"/>
      </w:r>
      <w:r>
        <w:instrText xml:space="preserve"> HYPERLINK \l "_Toc1203" </w:instrText>
      </w:r>
      <w:r>
        <w:fldChar w:fldCharType="separate"/>
      </w:r>
      <w:r>
        <w:rPr>
          <w:rFonts w:eastAsia="楷体_GB2312"/>
          <w:sz w:val="24"/>
          <w:szCs w:val="24"/>
        </w:rPr>
        <w:t>24 保密条款</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_Toc1203 \h </w:instrText>
      </w:r>
      <w:r>
        <w:rPr>
          <w:rFonts w:eastAsia="楷体_GB2312"/>
          <w:sz w:val="24"/>
          <w:szCs w:val="24"/>
        </w:rPr>
        <w:fldChar w:fldCharType="separate"/>
      </w:r>
      <w:r>
        <w:rPr>
          <w:rFonts w:eastAsia="楷体_GB2312"/>
          <w:sz w:val="24"/>
          <w:szCs w:val="24"/>
        </w:rPr>
        <w:t>75</w:t>
      </w:r>
      <w:r>
        <w:rPr>
          <w:rFonts w:eastAsia="楷体_GB2312"/>
          <w:sz w:val="24"/>
          <w:szCs w:val="24"/>
        </w:rPr>
        <w:fldChar w:fldCharType="end"/>
      </w:r>
      <w:r>
        <w:rPr>
          <w:rFonts w:eastAsia="楷体_GB2312"/>
          <w:sz w:val="24"/>
          <w:szCs w:val="24"/>
        </w:rPr>
        <w:fldChar w:fldCharType="end"/>
      </w:r>
    </w:p>
    <w:p w14:paraId="66F2B451">
      <w:pPr>
        <w:pStyle w:val="17"/>
        <w:tabs>
          <w:tab w:val="right" w:leader="dot" w:pos="8306"/>
        </w:tabs>
        <w:rPr>
          <w:rFonts w:eastAsia="楷体_GB2312"/>
          <w:sz w:val="24"/>
          <w:szCs w:val="24"/>
        </w:rPr>
      </w:pPr>
      <w:r>
        <w:fldChar w:fldCharType="begin"/>
      </w:r>
      <w:r>
        <w:instrText xml:space="preserve"> HYPERLINK \l "_Toc10814" </w:instrText>
      </w:r>
      <w:r>
        <w:fldChar w:fldCharType="separate"/>
      </w:r>
      <w:r>
        <w:rPr>
          <w:rFonts w:eastAsia="楷体_GB2312"/>
          <w:sz w:val="24"/>
          <w:szCs w:val="24"/>
        </w:rPr>
        <w:t>25 违约责任</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_Toc10814 \h </w:instrText>
      </w:r>
      <w:r>
        <w:rPr>
          <w:rFonts w:eastAsia="楷体_GB2312"/>
          <w:sz w:val="24"/>
          <w:szCs w:val="24"/>
        </w:rPr>
        <w:fldChar w:fldCharType="separate"/>
      </w:r>
      <w:r>
        <w:rPr>
          <w:rFonts w:eastAsia="楷体_GB2312"/>
          <w:sz w:val="24"/>
          <w:szCs w:val="24"/>
        </w:rPr>
        <w:t>76</w:t>
      </w:r>
      <w:r>
        <w:rPr>
          <w:rFonts w:eastAsia="楷体_GB2312"/>
          <w:sz w:val="24"/>
          <w:szCs w:val="24"/>
        </w:rPr>
        <w:fldChar w:fldCharType="end"/>
      </w:r>
      <w:r>
        <w:rPr>
          <w:rFonts w:eastAsia="楷体_GB2312"/>
          <w:sz w:val="24"/>
          <w:szCs w:val="24"/>
        </w:rPr>
        <w:fldChar w:fldCharType="end"/>
      </w:r>
    </w:p>
    <w:p w14:paraId="07FC6384">
      <w:pPr>
        <w:pStyle w:val="17"/>
        <w:tabs>
          <w:tab w:val="right" w:leader="dot" w:pos="8306"/>
        </w:tabs>
        <w:rPr>
          <w:rFonts w:eastAsia="楷体_GB2312"/>
          <w:sz w:val="24"/>
          <w:szCs w:val="24"/>
        </w:rPr>
      </w:pPr>
      <w:r>
        <w:fldChar w:fldCharType="begin"/>
      </w:r>
      <w:r>
        <w:instrText xml:space="preserve"> HYPERLINK \l "_Toc14215" </w:instrText>
      </w:r>
      <w:r>
        <w:fldChar w:fldCharType="separate"/>
      </w:r>
      <w:r>
        <w:rPr>
          <w:rFonts w:eastAsia="楷体_GB2312"/>
          <w:sz w:val="24"/>
          <w:szCs w:val="24"/>
        </w:rPr>
        <w:t>26 不可抗力</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_Toc14215 \h </w:instrText>
      </w:r>
      <w:r>
        <w:rPr>
          <w:rFonts w:eastAsia="楷体_GB2312"/>
          <w:sz w:val="24"/>
          <w:szCs w:val="24"/>
        </w:rPr>
        <w:fldChar w:fldCharType="separate"/>
      </w:r>
      <w:r>
        <w:rPr>
          <w:rFonts w:eastAsia="楷体_GB2312"/>
          <w:sz w:val="24"/>
          <w:szCs w:val="24"/>
        </w:rPr>
        <w:t>76</w:t>
      </w:r>
      <w:r>
        <w:rPr>
          <w:rFonts w:eastAsia="楷体_GB2312"/>
          <w:sz w:val="24"/>
          <w:szCs w:val="24"/>
        </w:rPr>
        <w:fldChar w:fldCharType="end"/>
      </w:r>
      <w:r>
        <w:rPr>
          <w:rFonts w:eastAsia="楷体_GB2312"/>
          <w:sz w:val="24"/>
          <w:szCs w:val="24"/>
        </w:rPr>
        <w:fldChar w:fldCharType="end"/>
      </w:r>
    </w:p>
    <w:p w14:paraId="78827B7E">
      <w:pPr>
        <w:pStyle w:val="17"/>
        <w:tabs>
          <w:tab w:val="right" w:leader="dot" w:pos="8306"/>
        </w:tabs>
        <w:rPr>
          <w:rFonts w:eastAsia="楷体_GB2312"/>
          <w:sz w:val="24"/>
          <w:szCs w:val="24"/>
        </w:rPr>
      </w:pPr>
      <w:r>
        <w:fldChar w:fldCharType="begin"/>
      </w:r>
      <w:r>
        <w:instrText xml:space="preserve"> HYPERLINK \l "_Toc32545" </w:instrText>
      </w:r>
      <w:r>
        <w:fldChar w:fldCharType="separate"/>
      </w:r>
      <w:r>
        <w:rPr>
          <w:rFonts w:eastAsia="楷体_GB2312"/>
          <w:sz w:val="24"/>
          <w:szCs w:val="24"/>
        </w:rPr>
        <w:t>27 法律适用和争议解决</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_Toc32545 \h </w:instrText>
      </w:r>
      <w:r>
        <w:rPr>
          <w:rFonts w:eastAsia="楷体_GB2312"/>
          <w:sz w:val="24"/>
          <w:szCs w:val="24"/>
        </w:rPr>
        <w:fldChar w:fldCharType="separate"/>
      </w:r>
      <w:r>
        <w:rPr>
          <w:rFonts w:eastAsia="楷体_GB2312"/>
          <w:sz w:val="24"/>
          <w:szCs w:val="24"/>
        </w:rPr>
        <w:t>76</w:t>
      </w:r>
      <w:r>
        <w:rPr>
          <w:rFonts w:eastAsia="楷体_GB2312"/>
          <w:sz w:val="24"/>
          <w:szCs w:val="24"/>
        </w:rPr>
        <w:fldChar w:fldCharType="end"/>
      </w:r>
      <w:r>
        <w:rPr>
          <w:rFonts w:eastAsia="楷体_GB2312"/>
          <w:sz w:val="24"/>
          <w:szCs w:val="24"/>
        </w:rPr>
        <w:fldChar w:fldCharType="end"/>
      </w:r>
    </w:p>
    <w:p w14:paraId="40C887FC">
      <w:pPr>
        <w:pStyle w:val="17"/>
        <w:tabs>
          <w:tab w:val="right" w:leader="dot" w:pos="8306"/>
        </w:tabs>
        <w:rPr>
          <w:rFonts w:eastAsia="楷体_GB2312"/>
          <w:sz w:val="24"/>
          <w:szCs w:val="24"/>
        </w:rPr>
      </w:pPr>
      <w:r>
        <w:fldChar w:fldCharType="begin"/>
      </w:r>
      <w:r>
        <w:instrText xml:space="preserve"> HYPERLINK \l "_Toc24159" </w:instrText>
      </w:r>
      <w:r>
        <w:fldChar w:fldCharType="separate"/>
      </w:r>
      <w:r>
        <w:rPr>
          <w:rFonts w:eastAsia="楷体_GB2312"/>
          <w:sz w:val="24"/>
          <w:szCs w:val="24"/>
        </w:rPr>
        <w:t>28 通知和送达</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_Toc24159 \h </w:instrText>
      </w:r>
      <w:r>
        <w:rPr>
          <w:rFonts w:eastAsia="楷体_GB2312"/>
          <w:sz w:val="24"/>
          <w:szCs w:val="24"/>
        </w:rPr>
        <w:fldChar w:fldCharType="separate"/>
      </w:r>
      <w:r>
        <w:rPr>
          <w:rFonts w:eastAsia="楷体_GB2312"/>
          <w:sz w:val="24"/>
          <w:szCs w:val="24"/>
        </w:rPr>
        <w:t>77</w:t>
      </w:r>
      <w:r>
        <w:rPr>
          <w:rFonts w:eastAsia="楷体_GB2312"/>
          <w:sz w:val="24"/>
          <w:szCs w:val="24"/>
        </w:rPr>
        <w:fldChar w:fldCharType="end"/>
      </w:r>
      <w:r>
        <w:rPr>
          <w:rFonts w:eastAsia="楷体_GB2312"/>
          <w:sz w:val="24"/>
          <w:szCs w:val="24"/>
        </w:rPr>
        <w:fldChar w:fldCharType="end"/>
      </w:r>
    </w:p>
    <w:p w14:paraId="6815A816">
      <w:pPr>
        <w:pStyle w:val="17"/>
        <w:tabs>
          <w:tab w:val="right" w:leader="dot" w:pos="8306"/>
        </w:tabs>
        <w:rPr>
          <w:rFonts w:eastAsia="楷体_GB2312"/>
          <w:sz w:val="24"/>
          <w:szCs w:val="24"/>
        </w:rPr>
      </w:pPr>
      <w:r>
        <w:fldChar w:fldCharType="begin"/>
      </w:r>
      <w:r>
        <w:instrText xml:space="preserve"> HYPERLINK \l "_Toc20783" </w:instrText>
      </w:r>
      <w:r>
        <w:fldChar w:fldCharType="separate"/>
      </w:r>
      <w:r>
        <w:rPr>
          <w:rFonts w:eastAsia="楷体_GB2312"/>
          <w:sz w:val="24"/>
          <w:szCs w:val="24"/>
        </w:rPr>
        <w:t>29 需要载明的其他事项</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_Toc20783 \h </w:instrText>
      </w:r>
      <w:r>
        <w:rPr>
          <w:rFonts w:eastAsia="楷体_GB2312"/>
          <w:sz w:val="24"/>
          <w:szCs w:val="24"/>
        </w:rPr>
        <w:fldChar w:fldCharType="separate"/>
      </w:r>
      <w:r>
        <w:rPr>
          <w:rFonts w:eastAsia="楷体_GB2312"/>
          <w:sz w:val="24"/>
          <w:szCs w:val="24"/>
        </w:rPr>
        <w:t>79</w:t>
      </w:r>
      <w:r>
        <w:rPr>
          <w:rFonts w:eastAsia="楷体_GB2312"/>
          <w:sz w:val="24"/>
          <w:szCs w:val="24"/>
        </w:rPr>
        <w:fldChar w:fldCharType="end"/>
      </w:r>
      <w:r>
        <w:rPr>
          <w:rFonts w:eastAsia="楷体_GB2312"/>
          <w:sz w:val="24"/>
          <w:szCs w:val="24"/>
        </w:rPr>
        <w:fldChar w:fldCharType="end"/>
      </w:r>
    </w:p>
    <w:p w14:paraId="21DE3028">
      <w:pPr>
        <w:pStyle w:val="17"/>
        <w:tabs>
          <w:tab w:val="right" w:leader="dot" w:pos="8306"/>
        </w:tabs>
        <w:rPr>
          <w:rFonts w:eastAsia="楷体_GB2312"/>
          <w:sz w:val="24"/>
          <w:szCs w:val="24"/>
        </w:rPr>
      </w:pPr>
      <w:r>
        <w:fldChar w:fldCharType="begin"/>
      </w:r>
      <w:r>
        <w:instrText xml:space="preserve"> HYPERLINK \l "_Toc28435" </w:instrText>
      </w:r>
      <w:r>
        <w:fldChar w:fldCharType="separate"/>
      </w:r>
      <w:r>
        <w:rPr>
          <w:rFonts w:eastAsia="楷体_GB2312"/>
          <w:sz w:val="24"/>
          <w:szCs w:val="24"/>
        </w:rPr>
        <w:t>附件一：信贷资产清单格式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_Toc28435 \h </w:instrText>
      </w:r>
      <w:r>
        <w:rPr>
          <w:rFonts w:eastAsia="楷体_GB2312"/>
          <w:sz w:val="24"/>
          <w:szCs w:val="24"/>
        </w:rPr>
        <w:fldChar w:fldCharType="separate"/>
      </w:r>
      <w:r>
        <w:rPr>
          <w:rFonts w:eastAsia="楷体_GB2312"/>
          <w:sz w:val="24"/>
          <w:szCs w:val="24"/>
        </w:rPr>
        <w:t>83</w:t>
      </w:r>
      <w:r>
        <w:rPr>
          <w:rFonts w:eastAsia="楷体_GB2312"/>
          <w:sz w:val="24"/>
          <w:szCs w:val="24"/>
        </w:rPr>
        <w:fldChar w:fldCharType="end"/>
      </w:r>
      <w:r>
        <w:rPr>
          <w:rFonts w:eastAsia="楷体_GB2312"/>
          <w:sz w:val="24"/>
          <w:szCs w:val="24"/>
        </w:rPr>
        <w:fldChar w:fldCharType="end"/>
      </w:r>
    </w:p>
    <w:p w14:paraId="63EA320A">
      <w:pPr>
        <w:pStyle w:val="17"/>
        <w:tabs>
          <w:tab w:val="right" w:leader="dot" w:pos="8306"/>
        </w:tabs>
        <w:rPr>
          <w:rFonts w:eastAsia="楷体_GB2312"/>
          <w:sz w:val="24"/>
          <w:szCs w:val="24"/>
        </w:rPr>
      </w:pPr>
      <w:r>
        <w:fldChar w:fldCharType="begin"/>
      </w:r>
      <w:r>
        <w:instrText xml:space="preserve"> HYPERLINK \l "_Toc31386" </w:instrText>
      </w:r>
      <w:r>
        <w:fldChar w:fldCharType="separate"/>
      </w:r>
      <w:r>
        <w:rPr>
          <w:rFonts w:eastAsia="楷体_GB2312"/>
          <w:sz w:val="24"/>
          <w:szCs w:val="24"/>
        </w:rPr>
        <w:t>附件二：确认函格式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_Toc31386 \h </w:instrText>
      </w:r>
      <w:r>
        <w:rPr>
          <w:rFonts w:eastAsia="楷体_GB2312"/>
          <w:sz w:val="24"/>
          <w:szCs w:val="24"/>
        </w:rPr>
        <w:fldChar w:fldCharType="separate"/>
      </w:r>
      <w:r>
        <w:rPr>
          <w:rFonts w:eastAsia="楷体_GB2312"/>
          <w:sz w:val="24"/>
          <w:szCs w:val="24"/>
        </w:rPr>
        <w:t>84</w:t>
      </w:r>
      <w:r>
        <w:rPr>
          <w:rFonts w:eastAsia="楷体_GB2312"/>
          <w:sz w:val="24"/>
          <w:szCs w:val="24"/>
        </w:rPr>
        <w:fldChar w:fldCharType="end"/>
      </w:r>
      <w:r>
        <w:rPr>
          <w:rFonts w:eastAsia="楷体_GB2312"/>
          <w:sz w:val="24"/>
          <w:szCs w:val="24"/>
        </w:rPr>
        <w:fldChar w:fldCharType="end"/>
      </w:r>
    </w:p>
    <w:p w14:paraId="2A8E9CB9">
      <w:pPr>
        <w:pStyle w:val="17"/>
        <w:tabs>
          <w:tab w:val="right" w:leader="dot" w:pos="8306"/>
        </w:tabs>
        <w:rPr>
          <w:rFonts w:eastAsia="楷体_GB2312"/>
          <w:sz w:val="24"/>
          <w:szCs w:val="24"/>
        </w:rPr>
      </w:pPr>
      <w:r>
        <w:fldChar w:fldCharType="begin"/>
      </w:r>
      <w:r>
        <w:instrText xml:space="preserve"> HYPERLINK \l "_Toc4060" </w:instrText>
      </w:r>
      <w:r>
        <w:fldChar w:fldCharType="separate"/>
      </w:r>
      <w:r>
        <w:rPr>
          <w:rFonts w:eastAsia="楷体_GB2312"/>
          <w:sz w:val="24"/>
          <w:szCs w:val="24"/>
        </w:rPr>
        <w:t>附件三：权利完善通知的格式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_Toc4060 \h </w:instrText>
      </w:r>
      <w:r>
        <w:rPr>
          <w:rFonts w:eastAsia="楷体_GB2312"/>
          <w:sz w:val="24"/>
          <w:szCs w:val="24"/>
        </w:rPr>
        <w:fldChar w:fldCharType="separate"/>
      </w:r>
      <w:r>
        <w:rPr>
          <w:rFonts w:eastAsia="楷体_GB2312"/>
          <w:sz w:val="24"/>
          <w:szCs w:val="24"/>
        </w:rPr>
        <w:t>85</w:t>
      </w:r>
      <w:r>
        <w:rPr>
          <w:rFonts w:eastAsia="楷体_GB2312"/>
          <w:sz w:val="24"/>
          <w:szCs w:val="24"/>
        </w:rPr>
        <w:fldChar w:fldCharType="end"/>
      </w:r>
      <w:r>
        <w:rPr>
          <w:rFonts w:eastAsia="楷体_GB2312"/>
          <w:sz w:val="24"/>
          <w:szCs w:val="24"/>
        </w:rPr>
        <w:fldChar w:fldCharType="end"/>
      </w:r>
    </w:p>
    <w:p w14:paraId="3C1F3F0C">
      <w:pPr>
        <w:pStyle w:val="17"/>
        <w:tabs>
          <w:tab w:val="right" w:leader="dot" w:pos="8306"/>
        </w:tabs>
        <w:rPr>
          <w:rFonts w:eastAsia="楷体_GB2312"/>
          <w:sz w:val="24"/>
          <w:szCs w:val="24"/>
        </w:rPr>
      </w:pPr>
      <w:r>
        <w:fldChar w:fldCharType="begin"/>
      </w:r>
      <w:r>
        <w:instrText xml:space="preserve"> HYPERLINK \l "_Toc12866" </w:instrText>
      </w:r>
      <w:r>
        <w:fldChar w:fldCharType="separate"/>
      </w:r>
      <w:r>
        <w:rPr>
          <w:rFonts w:eastAsia="楷体_GB2312"/>
          <w:sz w:val="24"/>
          <w:szCs w:val="24"/>
        </w:rPr>
        <w:t>附件四：授权书的格式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_Toc12866 \h </w:instrText>
      </w:r>
      <w:r>
        <w:rPr>
          <w:rFonts w:eastAsia="楷体_GB2312"/>
          <w:sz w:val="24"/>
          <w:szCs w:val="24"/>
        </w:rPr>
        <w:fldChar w:fldCharType="separate"/>
      </w:r>
      <w:r>
        <w:rPr>
          <w:rFonts w:eastAsia="楷体_GB2312"/>
          <w:sz w:val="24"/>
          <w:szCs w:val="24"/>
        </w:rPr>
        <w:t>89</w:t>
      </w:r>
      <w:r>
        <w:rPr>
          <w:rFonts w:eastAsia="楷体_GB2312"/>
          <w:sz w:val="24"/>
          <w:szCs w:val="24"/>
        </w:rPr>
        <w:fldChar w:fldCharType="end"/>
      </w:r>
      <w:r>
        <w:rPr>
          <w:rFonts w:eastAsia="楷体_GB2312"/>
          <w:sz w:val="24"/>
          <w:szCs w:val="24"/>
        </w:rPr>
        <w:fldChar w:fldCharType="end"/>
      </w:r>
    </w:p>
    <w:p w14:paraId="15C28109">
      <w:pPr>
        <w:pStyle w:val="17"/>
        <w:tabs>
          <w:tab w:val="right" w:leader="dot" w:pos="8306"/>
        </w:tabs>
        <w:rPr>
          <w:rFonts w:eastAsia="楷体_GB2312"/>
          <w:sz w:val="24"/>
          <w:szCs w:val="24"/>
        </w:rPr>
      </w:pPr>
      <w:r>
        <w:fldChar w:fldCharType="begin"/>
      </w:r>
      <w:r>
        <w:instrText xml:space="preserve"> HYPERLINK \l "_Toc18302" </w:instrText>
      </w:r>
      <w:r>
        <w:fldChar w:fldCharType="separate"/>
      </w:r>
      <w:r>
        <w:rPr>
          <w:rFonts w:eastAsia="楷体_GB2312"/>
          <w:sz w:val="24"/>
          <w:szCs w:val="24"/>
        </w:rPr>
        <w:t>附件五：资产支持证券本金还款金额计算方式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_Toc18302 \h </w:instrText>
      </w:r>
      <w:r>
        <w:rPr>
          <w:rFonts w:eastAsia="楷体_GB2312"/>
          <w:sz w:val="24"/>
          <w:szCs w:val="24"/>
        </w:rPr>
        <w:fldChar w:fldCharType="separate"/>
      </w:r>
      <w:r>
        <w:rPr>
          <w:rFonts w:eastAsia="楷体_GB2312"/>
          <w:sz w:val="24"/>
          <w:szCs w:val="24"/>
        </w:rPr>
        <w:t>90</w:t>
      </w:r>
      <w:r>
        <w:rPr>
          <w:rFonts w:eastAsia="楷体_GB2312"/>
          <w:sz w:val="24"/>
          <w:szCs w:val="24"/>
        </w:rPr>
        <w:fldChar w:fldCharType="end"/>
      </w:r>
      <w:r>
        <w:rPr>
          <w:rFonts w:eastAsia="楷体_GB2312"/>
          <w:sz w:val="24"/>
          <w:szCs w:val="24"/>
        </w:rPr>
        <w:fldChar w:fldCharType="end"/>
      </w:r>
    </w:p>
    <w:p w14:paraId="61DCE94B">
      <w:pPr>
        <w:pStyle w:val="17"/>
        <w:tabs>
          <w:tab w:val="right" w:leader="dot" w:pos="8306"/>
        </w:tabs>
        <w:rPr>
          <w:rFonts w:eastAsia="楷体_GB2312"/>
          <w:sz w:val="24"/>
          <w:szCs w:val="24"/>
        </w:rPr>
      </w:pPr>
      <w:r>
        <w:fldChar w:fldCharType="begin"/>
      </w:r>
      <w:r>
        <w:instrText xml:space="preserve"> HYPERLINK \l "_Toc27061" </w:instrText>
      </w:r>
      <w:r>
        <w:fldChar w:fldCharType="separate"/>
      </w:r>
      <w:r>
        <w:rPr>
          <w:rFonts w:eastAsia="楷体_GB2312"/>
          <w:sz w:val="24"/>
          <w:szCs w:val="24"/>
        </w:rPr>
        <w:t>附件六：清仓回购通知格式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_Toc27061 \h </w:instrText>
      </w:r>
      <w:r>
        <w:rPr>
          <w:rFonts w:eastAsia="楷体_GB2312"/>
          <w:sz w:val="24"/>
          <w:szCs w:val="24"/>
        </w:rPr>
        <w:fldChar w:fldCharType="separate"/>
      </w:r>
      <w:r>
        <w:rPr>
          <w:rFonts w:eastAsia="楷体_GB2312"/>
          <w:sz w:val="24"/>
          <w:szCs w:val="24"/>
        </w:rPr>
        <w:t>93</w:t>
      </w:r>
      <w:r>
        <w:rPr>
          <w:rFonts w:eastAsia="楷体_GB2312"/>
          <w:sz w:val="24"/>
          <w:szCs w:val="24"/>
        </w:rPr>
        <w:fldChar w:fldCharType="end"/>
      </w:r>
      <w:r>
        <w:rPr>
          <w:rFonts w:eastAsia="楷体_GB2312"/>
          <w:sz w:val="24"/>
          <w:szCs w:val="24"/>
        </w:rPr>
        <w:fldChar w:fldCharType="end"/>
      </w:r>
    </w:p>
    <w:p w14:paraId="72EED6D5">
      <w:pPr>
        <w:pStyle w:val="17"/>
        <w:tabs>
          <w:tab w:val="right" w:leader="dot" w:pos="8306"/>
        </w:tabs>
        <w:rPr>
          <w:rFonts w:eastAsia="楷体_GB2312"/>
          <w:sz w:val="24"/>
          <w:szCs w:val="24"/>
        </w:rPr>
      </w:pPr>
      <w:r>
        <w:fldChar w:fldCharType="begin"/>
      </w:r>
      <w:r>
        <w:instrText xml:space="preserve"> HYPERLINK \l "_Toc6077" </w:instrText>
      </w:r>
      <w:r>
        <w:fldChar w:fldCharType="separate"/>
      </w:r>
      <w:r>
        <w:rPr>
          <w:rFonts w:eastAsia="楷体_GB2312"/>
          <w:sz w:val="24"/>
          <w:szCs w:val="24"/>
        </w:rPr>
        <w:t>附件七：清仓回购要约通知格式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_Toc6077 \h </w:instrText>
      </w:r>
      <w:r>
        <w:rPr>
          <w:rFonts w:eastAsia="楷体_GB2312"/>
          <w:sz w:val="24"/>
          <w:szCs w:val="24"/>
        </w:rPr>
        <w:fldChar w:fldCharType="separate"/>
      </w:r>
      <w:r>
        <w:rPr>
          <w:rFonts w:eastAsia="楷体_GB2312"/>
          <w:sz w:val="24"/>
          <w:szCs w:val="24"/>
        </w:rPr>
        <w:t>94</w:t>
      </w:r>
      <w:r>
        <w:rPr>
          <w:rFonts w:eastAsia="楷体_GB2312"/>
          <w:sz w:val="24"/>
          <w:szCs w:val="24"/>
        </w:rPr>
        <w:fldChar w:fldCharType="end"/>
      </w:r>
      <w:r>
        <w:rPr>
          <w:rFonts w:eastAsia="楷体_GB2312"/>
          <w:sz w:val="24"/>
          <w:szCs w:val="24"/>
        </w:rPr>
        <w:fldChar w:fldCharType="end"/>
      </w:r>
    </w:p>
    <w:p w14:paraId="4FB49B7E">
      <w:pPr>
        <w:pStyle w:val="17"/>
        <w:tabs>
          <w:tab w:val="right" w:leader="dot" w:pos="8306"/>
        </w:tabs>
        <w:rPr>
          <w:rFonts w:eastAsia="楷体_GB2312"/>
          <w:sz w:val="24"/>
          <w:szCs w:val="24"/>
        </w:rPr>
      </w:pPr>
      <w:r>
        <w:fldChar w:fldCharType="begin"/>
      </w:r>
      <w:r>
        <w:instrText xml:space="preserve"> HYPERLINK \l "_Toc24654" </w:instrText>
      </w:r>
      <w:r>
        <w:fldChar w:fldCharType="separate"/>
      </w:r>
      <w:r>
        <w:rPr>
          <w:rFonts w:eastAsia="楷体_GB2312"/>
          <w:sz w:val="24"/>
          <w:szCs w:val="24"/>
        </w:rPr>
        <w:t>附件八：清仓回购承诺通知格式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_Toc24654 \h </w:instrText>
      </w:r>
      <w:r>
        <w:rPr>
          <w:rFonts w:eastAsia="楷体_GB2312"/>
          <w:sz w:val="24"/>
          <w:szCs w:val="24"/>
        </w:rPr>
        <w:fldChar w:fldCharType="separate"/>
      </w:r>
      <w:r>
        <w:rPr>
          <w:rFonts w:eastAsia="楷体_GB2312"/>
          <w:sz w:val="24"/>
          <w:szCs w:val="24"/>
        </w:rPr>
        <w:t>95</w:t>
      </w:r>
      <w:r>
        <w:rPr>
          <w:rFonts w:eastAsia="楷体_GB2312"/>
          <w:sz w:val="24"/>
          <w:szCs w:val="24"/>
        </w:rPr>
        <w:fldChar w:fldCharType="end"/>
      </w:r>
      <w:r>
        <w:rPr>
          <w:rFonts w:eastAsia="楷体_GB2312"/>
          <w:sz w:val="24"/>
          <w:szCs w:val="24"/>
        </w:rPr>
        <w:fldChar w:fldCharType="end"/>
      </w:r>
    </w:p>
    <w:p w14:paraId="5EBE2330">
      <w:pPr>
        <w:pStyle w:val="17"/>
        <w:tabs>
          <w:tab w:val="right" w:leader="dot" w:pos="8306"/>
        </w:tabs>
        <w:rPr>
          <w:rFonts w:eastAsia="楷体_GB2312"/>
          <w:sz w:val="24"/>
          <w:szCs w:val="24"/>
        </w:rPr>
      </w:pPr>
      <w:r>
        <w:fldChar w:fldCharType="begin"/>
      </w:r>
      <w:r>
        <w:instrText xml:space="preserve"> HYPERLINK \l "_Toc7309" </w:instrText>
      </w:r>
      <w:r>
        <w:fldChar w:fldCharType="separate"/>
      </w:r>
      <w:r>
        <w:rPr>
          <w:rFonts w:eastAsia="楷体_GB2312"/>
          <w:sz w:val="24"/>
          <w:szCs w:val="24"/>
        </w:rPr>
        <w:t>附件九：信托会计处理的原则和方式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_Toc7309 \h </w:instrText>
      </w:r>
      <w:r>
        <w:rPr>
          <w:rFonts w:eastAsia="楷体_GB2312"/>
          <w:sz w:val="24"/>
          <w:szCs w:val="24"/>
        </w:rPr>
        <w:fldChar w:fldCharType="separate"/>
      </w:r>
      <w:r>
        <w:rPr>
          <w:rFonts w:eastAsia="楷体_GB2312"/>
          <w:sz w:val="24"/>
          <w:szCs w:val="24"/>
        </w:rPr>
        <w:t>96</w:t>
      </w:r>
      <w:r>
        <w:rPr>
          <w:rFonts w:eastAsia="楷体_GB2312"/>
          <w:sz w:val="24"/>
          <w:szCs w:val="24"/>
        </w:rPr>
        <w:fldChar w:fldCharType="end"/>
      </w:r>
      <w:r>
        <w:rPr>
          <w:rFonts w:eastAsia="楷体_GB2312"/>
          <w:sz w:val="24"/>
          <w:szCs w:val="24"/>
        </w:rPr>
        <w:fldChar w:fldCharType="end"/>
      </w:r>
    </w:p>
    <w:p w14:paraId="3F58D04A">
      <w:pPr>
        <w:pStyle w:val="17"/>
        <w:tabs>
          <w:tab w:val="right" w:leader="dot" w:pos="8306"/>
        </w:tabs>
        <w:rPr>
          <w:rFonts w:eastAsia="楷体_GB2312"/>
          <w:sz w:val="24"/>
          <w:szCs w:val="24"/>
        </w:rPr>
      </w:pPr>
      <w:r>
        <w:fldChar w:fldCharType="begin"/>
      </w:r>
      <w:r>
        <w:instrText xml:space="preserve"> HYPERLINK \l "_Toc15408" </w:instrText>
      </w:r>
      <w:r>
        <w:fldChar w:fldCharType="separate"/>
      </w:r>
      <w:r>
        <w:rPr>
          <w:rFonts w:eastAsia="楷体_GB2312"/>
          <w:sz w:val="24"/>
          <w:szCs w:val="24"/>
        </w:rPr>
        <w:t>附件十：受托机构报告格式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_Toc15408 \h </w:instrText>
      </w:r>
      <w:r>
        <w:rPr>
          <w:rFonts w:eastAsia="楷体_GB2312"/>
          <w:sz w:val="24"/>
          <w:szCs w:val="24"/>
        </w:rPr>
        <w:fldChar w:fldCharType="separate"/>
      </w:r>
      <w:r>
        <w:rPr>
          <w:rFonts w:eastAsia="楷体_GB2312"/>
          <w:sz w:val="24"/>
          <w:szCs w:val="24"/>
        </w:rPr>
        <w:t>98</w:t>
      </w:r>
      <w:r>
        <w:rPr>
          <w:rFonts w:eastAsia="楷体_GB2312"/>
          <w:sz w:val="24"/>
          <w:szCs w:val="24"/>
        </w:rPr>
        <w:fldChar w:fldCharType="end"/>
      </w:r>
      <w:r>
        <w:rPr>
          <w:rFonts w:eastAsia="楷体_GB2312"/>
          <w:sz w:val="24"/>
          <w:szCs w:val="24"/>
        </w:rPr>
        <w:fldChar w:fldCharType="end"/>
      </w:r>
    </w:p>
    <w:p w14:paraId="4D3B7748">
      <w:pPr>
        <w:pStyle w:val="17"/>
        <w:tabs>
          <w:tab w:val="right" w:leader="dot" w:pos="8306"/>
        </w:tabs>
        <w:rPr>
          <w:rFonts w:eastAsia="楷体_GB2312"/>
          <w:sz w:val="24"/>
          <w:szCs w:val="24"/>
        </w:rPr>
      </w:pPr>
      <w:r>
        <w:fldChar w:fldCharType="begin"/>
      </w:r>
      <w:r>
        <w:instrText xml:space="preserve"> HYPERLINK \l "_Toc23956" </w:instrText>
      </w:r>
      <w:r>
        <w:fldChar w:fldCharType="separate"/>
      </w:r>
      <w:r>
        <w:rPr>
          <w:rFonts w:eastAsia="楷体_GB2312"/>
          <w:sz w:val="24"/>
          <w:szCs w:val="24"/>
        </w:rPr>
        <w:t>附件十一：重大事件报告书</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_Toc23956 \h </w:instrText>
      </w:r>
      <w:r>
        <w:rPr>
          <w:rFonts w:eastAsia="楷体_GB2312"/>
          <w:sz w:val="24"/>
          <w:szCs w:val="24"/>
        </w:rPr>
        <w:fldChar w:fldCharType="separate"/>
      </w:r>
      <w:r>
        <w:rPr>
          <w:rFonts w:eastAsia="楷体_GB2312"/>
          <w:sz w:val="24"/>
          <w:szCs w:val="24"/>
        </w:rPr>
        <w:t>119</w:t>
      </w:r>
      <w:r>
        <w:rPr>
          <w:rFonts w:eastAsia="楷体_GB2312"/>
          <w:sz w:val="24"/>
          <w:szCs w:val="24"/>
        </w:rPr>
        <w:fldChar w:fldCharType="end"/>
      </w:r>
      <w:r>
        <w:rPr>
          <w:rFonts w:eastAsia="楷体_GB2312"/>
          <w:sz w:val="24"/>
          <w:szCs w:val="24"/>
        </w:rPr>
        <w:fldChar w:fldCharType="end"/>
      </w:r>
    </w:p>
    <w:p w14:paraId="7D5BDB2C">
      <w:pPr>
        <w:pStyle w:val="17"/>
        <w:tabs>
          <w:tab w:val="right" w:leader="dot" w:pos="8306"/>
        </w:tabs>
        <w:rPr>
          <w:rFonts w:eastAsia="楷体_GB2312"/>
          <w:sz w:val="24"/>
          <w:szCs w:val="24"/>
        </w:rPr>
      </w:pPr>
      <w:r>
        <w:fldChar w:fldCharType="begin"/>
      </w:r>
      <w:r>
        <w:instrText xml:space="preserve"> HYPERLINK \l "_Toc16430" </w:instrText>
      </w:r>
      <w:r>
        <w:fldChar w:fldCharType="separate"/>
      </w:r>
      <w:r>
        <w:rPr>
          <w:rFonts w:eastAsia="楷体_GB2312"/>
          <w:sz w:val="24"/>
          <w:szCs w:val="24"/>
        </w:rPr>
        <w:t>附件十二：终止信托通知函格式</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_Toc16430 \h </w:instrText>
      </w:r>
      <w:r>
        <w:rPr>
          <w:rFonts w:eastAsia="楷体_GB2312"/>
          <w:sz w:val="24"/>
          <w:szCs w:val="24"/>
        </w:rPr>
        <w:fldChar w:fldCharType="separate"/>
      </w:r>
      <w:r>
        <w:rPr>
          <w:rFonts w:eastAsia="楷体_GB2312"/>
          <w:sz w:val="24"/>
          <w:szCs w:val="24"/>
        </w:rPr>
        <w:t>121</w:t>
      </w:r>
      <w:r>
        <w:rPr>
          <w:rFonts w:eastAsia="楷体_GB2312"/>
          <w:sz w:val="24"/>
          <w:szCs w:val="24"/>
        </w:rPr>
        <w:fldChar w:fldCharType="end"/>
      </w:r>
      <w:r>
        <w:rPr>
          <w:rFonts w:eastAsia="楷体_GB2312"/>
          <w:sz w:val="24"/>
          <w:szCs w:val="24"/>
        </w:rPr>
        <w:fldChar w:fldCharType="end"/>
      </w:r>
    </w:p>
    <w:p w14:paraId="47F414E7">
      <w:pPr>
        <w:pStyle w:val="17"/>
        <w:tabs>
          <w:tab w:val="right" w:leader="dot" w:pos="8306"/>
        </w:tabs>
        <w:rPr>
          <w:rFonts w:eastAsia="楷体_GB2312"/>
          <w:sz w:val="24"/>
          <w:szCs w:val="24"/>
        </w:rPr>
      </w:pPr>
      <w:r>
        <w:fldChar w:fldCharType="begin"/>
      </w:r>
      <w:r>
        <w:instrText xml:space="preserve"> HYPERLINK \l "_Toc11518" </w:instrText>
      </w:r>
      <w:r>
        <w:fldChar w:fldCharType="separate"/>
      </w:r>
      <w:r>
        <w:rPr>
          <w:rFonts w:eastAsia="楷体_GB2312"/>
          <w:sz w:val="24"/>
          <w:szCs w:val="24"/>
        </w:rPr>
        <w:t>附件十三：受托机构收费函</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_Toc11518 \h </w:instrText>
      </w:r>
      <w:r>
        <w:rPr>
          <w:rFonts w:eastAsia="楷体_GB2312"/>
          <w:sz w:val="24"/>
          <w:szCs w:val="24"/>
        </w:rPr>
        <w:fldChar w:fldCharType="separate"/>
      </w:r>
      <w:r>
        <w:rPr>
          <w:rFonts w:eastAsia="楷体_GB2312"/>
          <w:sz w:val="24"/>
          <w:szCs w:val="24"/>
        </w:rPr>
        <w:t>123</w:t>
      </w:r>
      <w:r>
        <w:rPr>
          <w:rFonts w:eastAsia="楷体_GB2312"/>
          <w:sz w:val="24"/>
          <w:szCs w:val="24"/>
        </w:rPr>
        <w:fldChar w:fldCharType="end"/>
      </w:r>
      <w:r>
        <w:rPr>
          <w:rFonts w:eastAsia="楷体_GB2312"/>
          <w:sz w:val="24"/>
          <w:szCs w:val="24"/>
        </w:rPr>
        <w:fldChar w:fldCharType="end"/>
      </w:r>
    </w:p>
    <w:p w14:paraId="79D2CDBD">
      <w:pPr>
        <w:pStyle w:val="24"/>
        <w:tabs>
          <w:tab w:val="left" w:pos="540"/>
        </w:tabs>
        <w:spacing w:line="380" w:lineRule="atLeast"/>
        <w:ind w:left="0"/>
        <w:jc w:val="both"/>
        <w:rPr>
          <w:rFonts w:eastAsia="楷体_GB2312"/>
        </w:rPr>
      </w:pPr>
      <w:r>
        <w:rPr>
          <w:rFonts w:eastAsia="楷体_GB2312"/>
          <w:sz w:val="24"/>
          <w:szCs w:val="24"/>
        </w:rPr>
        <w:fldChar w:fldCharType="end"/>
      </w:r>
    </w:p>
    <w:p w14:paraId="272BB41D">
      <w:pPr>
        <w:pStyle w:val="17"/>
        <w:spacing w:line="380" w:lineRule="atLeast"/>
        <w:ind w:firstLine="337"/>
        <w:rPr>
          <w:rFonts w:eastAsia="楷体_GB2312"/>
        </w:rPr>
        <w:sectPr>
          <w:footerReference r:id="rId7" w:type="default"/>
          <w:pgSz w:w="11906" w:h="16838"/>
          <w:pgMar w:top="1440" w:right="1800" w:bottom="1440" w:left="1800" w:header="851" w:footer="992" w:gutter="0"/>
          <w:cols w:space="425" w:num="1"/>
          <w:docGrid w:type="lines" w:linePitch="312" w:charSpace="0"/>
        </w:sectPr>
      </w:pPr>
    </w:p>
    <w:p w14:paraId="52A9781A">
      <w:pPr>
        <w:spacing w:line="380" w:lineRule="atLeast"/>
        <w:jc w:val="center"/>
        <w:rPr>
          <w:rFonts w:eastAsia="楷体_GB2312"/>
          <w:b/>
          <w:sz w:val="30"/>
          <w:szCs w:val="30"/>
        </w:rPr>
      </w:pPr>
      <w:r>
        <w:rPr>
          <w:rFonts w:eastAsia="楷体_GB2312"/>
          <w:b/>
          <w:sz w:val="30"/>
          <w:szCs w:val="30"/>
        </w:rPr>
        <w:t>【信托名称】之</w:t>
      </w:r>
    </w:p>
    <w:p w14:paraId="4A7166CB">
      <w:pPr>
        <w:spacing w:line="380" w:lineRule="atLeast"/>
        <w:jc w:val="center"/>
        <w:rPr>
          <w:rFonts w:eastAsia="楷体_GB2312"/>
          <w:sz w:val="30"/>
          <w:szCs w:val="30"/>
        </w:rPr>
      </w:pPr>
      <w:r>
        <w:rPr>
          <w:rFonts w:eastAsia="楷体_GB2312"/>
          <w:b/>
          <w:sz w:val="30"/>
          <w:szCs w:val="30"/>
        </w:rPr>
        <w:t>信托合同</w:t>
      </w:r>
    </w:p>
    <w:p w14:paraId="7B81626B">
      <w:pPr>
        <w:spacing w:line="380" w:lineRule="atLeast"/>
        <w:rPr>
          <w:rFonts w:eastAsia="楷体_GB2312"/>
          <w:b/>
          <w:sz w:val="24"/>
        </w:rPr>
      </w:pPr>
    </w:p>
    <w:p w14:paraId="2DA9998F">
      <w:pPr>
        <w:spacing w:line="380" w:lineRule="atLeast"/>
        <w:rPr>
          <w:rFonts w:eastAsia="楷体_GB2312"/>
          <w:b/>
          <w:sz w:val="24"/>
        </w:rPr>
      </w:pPr>
      <w:r>
        <w:rPr>
          <w:rFonts w:eastAsia="楷体_GB2312"/>
          <w:b/>
          <w:sz w:val="24"/>
        </w:rPr>
        <w:t>《【信托名称】之信托合同》（“本合同”）由下列双方在中国【】市【】区签订。</w:t>
      </w:r>
    </w:p>
    <w:p w14:paraId="5E74D1FF">
      <w:pPr>
        <w:spacing w:line="380" w:lineRule="atLeast"/>
        <w:rPr>
          <w:rFonts w:eastAsia="楷体_GB2312"/>
          <w:b/>
          <w:sz w:val="24"/>
        </w:rPr>
      </w:pPr>
    </w:p>
    <w:p w14:paraId="42A915AE">
      <w:pPr>
        <w:tabs>
          <w:tab w:val="left" w:pos="2025"/>
          <w:tab w:val="left" w:pos="8928"/>
        </w:tabs>
        <w:spacing w:line="380" w:lineRule="atLeast"/>
        <w:jc w:val="left"/>
        <w:rPr>
          <w:rFonts w:eastAsia="楷体_GB2312"/>
          <w:b/>
          <w:bCs/>
          <w:sz w:val="24"/>
          <w:shd w:val="pct10" w:color="auto" w:fill="FFFFFF"/>
        </w:rPr>
      </w:pPr>
      <w:r>
        <w:rPr>
          <w:rFonts w:eastAsia="楷体_GB2312"/>
          <w:b/>
          <w:sz w:val="24"/>
        </w:rPr>
        <w:t>委托人：</w:t>
      </w:r>
      <w:r>
        <w:rPr>
          <w:rFonts w:eastAsia="楷体_GB2312"/>
          <w:b/>
          <w:sz w:val="24"/>
        </w:rPr>
        <w:tab/>
      </w:r>
      <w:r>
        <w:rPr>
          <w:rFonts w:eastAsia="楷体_GB2312"/>
          <w:b/>
          <w:bCs/>
          <w:sz w:val="24"/>
        </w:rPr>
        <w:t>【发起机构全称】</w:t>
      </w:r>
    </w:p>
    <w:p w14:paraId="6BB17938">
      <w:pPr>
        <w:tabs>
          <w:tab w:val="left" w:pos="2025"/>
          <w:tab w:val="left" w:pos="8928"/>
        </w:tabs>
        <w:spacing w:line="380" w:lineRule="atLeast"/>
        <w:jc w:val="left"/>
        <w:rPr>
          <w:rFonts w:eastAsia="楷体_GB2312"/>
          <w:bCs/>
          <w:sz w:val="24"/>
        </w:rPr>
      </w:pPr>
      <w:r>
        <w:rPr>
          <w:rFonts w:eastAsia="楷体_GB2312"/>
          <w:bCs/>
          <w:sz w:val="24"/>
        </w:rPr>
        <w:t>法定代表人：</w:t>
      </w:r>
      <w:r>
        <w:rPr>
          <w:rFonts w:eastAsia="楷体_GB2312"/>
          <w:bCs/>
          <w:sz w:val="24"/>
        </w:rPr>
        <w:tab/>
      </w:r>
      <w:r>
        <w:rPr>
          <w:rFonts w:eastAsia="楷体_GB2312"/>
          <w:color w:val="000000"/>
          <w:sz w:val="24"/>
        </w:rPr>
        <w:t>【】</w:t>
      </w:r>
    </w:p>
    <w:p w14:paraId="12843E5A">
      <w:pPr>
        <w:tabs>
          <w:tab w:val="left" w:pos="2025"/>
          <w:tab w:val="left" w:pos="8928"/>
        </w:tabs>
        <w:spacing w:line="380" w:lineRule="atLeast"/>
        <w:jc w:val="left"/>
        <w:rPr>
          <w:rFonts w:eastAsia="楷体_GB2312"/>
          <w:bCs/>
          <w:sz w:val="24"/>
        </w:rPr>
      </w:pPr>
      <w:r>
        <w:rPr>
          <w:rFonts w:eastAsia="楷体_GB2312"/>
          <w:bCs/>
          <w:sz w:val="24"/>
        </w:rPr>
        <w:t>注册地址：</w:t>
      </w:r>
      <w:r>
        <w:rPr>
          <w:rFonts w:eastAsia="楷体_GB2312"/>
          <w:bCs/>
          <w:sz w:val="24"/>
        </w:rPr>
        <w:tab/>
      </w:r>
      <w:r>
        <w:rPr>
          <w:rFonts w:eastAsia="楷体_GB2312"/>
          <w:bCs/>
          <w:sz w:val="24"/>
        </w:rPr>
        <w:t>【】</w:t>
      </w:r>
    </w:p>
    <w:p w14:paraId="7658B079">
      <w:pPr>
        <w:tabs>
          <w:tab w:val="left" w:pos="2025"/>
          <w:tab w:val="left" w:pos="8928"/>
        </w:tabs>
        <w:spacing w:line="380" w:lineRule="atLeast"/>
        <w:jc w:val="left"/>
        <w:rPr>
          <w:rFonts w:eastAsia="楷体_GB2312"/>
          <w:b/>
          <w:sz w:val="24"/>
        </w:rPr>
      </w:pPr>
    </w:p>
    <w:p w14:paraId="4377117C">
      <w:pPr>
        <w:tabs>
          <w:tab w:val="left" w:pos="2025"/>
          <w:tab w:val="left" w:pos="8928"/>
        </w:tabs>
        <w:spacing w:line="380" w:lineRule="atLeast"/>
        <w:jc w:val="left"/>
        <w:rPr>
          <w:rFonts w:eastAsia="楷体_GB2312"/>
          <w:b/>
          <w:sz w:val="24"/>
        </w:rPr>
      </w:pPr>
      <w:r>
        <w:rPr>
          <w:rFonts w:eastAsia="楷体_GB2312"/>
          <w:b/>
          <w:sz w:val="24"/>
        </w:rPr>
        <w:t>受托人：</w:t>
      </w:r>
      <w:r>
        <w:rPr>
          <w:rFonts w:eastAsia="楷体_GB2312"/>
          <w:b/>
          <w:sz w:val="24"/>
        </w:rPr>
        <w:tab/>
      </w:r>
      <w:r>
        <w:rPr>
          <w:rFonts w:eastAsia="楷体_GB2312"/>
          <w:b/>
          <w:sz w:val="24"/>
        </w:rPr>
        <w:t>【受托机构全称】</w:t>
      </w:r>
    </w:p>
    <w:p w14:paraId="49E6A1E1">
      <w:pPr>
        <w:tabs>
          <w:tab w:val="left" w:pos="2025"/>
          <w:tab w:val="left" w:pos="8928"/>
        </w:tabs>
        <w:spacing w:line="380" w:lineRule="atLeast"/>
        <w:jc w:val="left"/>
        <w:rPr>
          <w:rFonts w:eastAsia="楷体_GB2312"/>
          <w:sz w:val="24"/>
        </w:rPr>
      </w:pPr>
      <w:r>
        <w:rPr>
          <w:rFonts w:eastAsia="楷体_GB2312"/>
          <w:sz w:val="24"/>
        </w:rPr>
        <w:t>法定代表人：</w:t>
      </w:r>
      <w:r>
        <w:rPr>
          <w:rFonts w:eastAsia="楷体_GB2312"/>
          <w:sz w:val="24"/>
        </w:rPr>
        <w:tab/>
      </w:r>
      <w:r>
        <w:rPr>
          <w:rFonts w:eastAsia="楷体_GB2312"/>
          <w:bCs/>
          <w:sz w:val="24"/>
        </w:rPr>
        <w:t>【】</w:t>
      </w:r>
    </w:p>
    <w:p w14:paraId="2FDD1ACB">
      <w:pPr>
        <w:tabs>
          <w:tab w:val="left" w:pos="2025"/>
          <w:tab w:val="left" w:pos="8928"/>
        </w:tabs>
        <w:spacing w:line="380" w:lineRule="atLeast"/>
        <w:jc w:val="left"/>
        <w:rPr>
          <w:rFonts w:eastAsia="楷体_GB2312"/>
          <w:sz w:val="24"/>
        </w:rPr>
      </w:pPr>
      <w:r>
        <w:rPr>
          <w:rFonts w:eastAsia="楷体_GB2312"/>
          <w:sz w:val="24"/>
        </w:rPr>
        <w:t>注册地址：</w:t>
      </w:r>
      <w:r>
        <w:rPr>
          <w:rFonts w:eastAsia="楷体_GB2312"/>
          <w:sz w:val="24"/>
        </w:rPr>
        <w:tab/>
      </w:r>
      <w:r>
        <w:rPr>
          <w:rFonts w:eastAsia="楷体_GB2312"/>
          <w:sz w:val="24"/>
        </w:rPr>
        <w:t>【】</w:t>
      </w:r>
    </w:p>
    <w:p w14:paraId="5059A05B">
      <w:pPr>
        <w:tabs>
          <w:tab w:val="left" w:pos="0"/>
          <w:tab w:val="left" w:pos="8928"/>
        </w:tabs>
        <w:spacing w:line="380" w:lineRule="atLeast"/>
        <w:jc w:val="left"/>
        <w:rPr>
          <w:rFonts w:eastAsia="楷体_GB2312"/>
          <w:bCs/>
          <w:sz w:val="24"/>
        </w:rPr>
      </w:pPr>
    </w:p>
    <w:p w14:paraId="1969AF42">
      <w:pPr>
        <w:tabs>
          <w:tab w:val="left" w:pos="0"/>
          <w:tab w:val="left" w:pos="8928"/>
        </w:tabs>
        <w:spacing w:line="380" w:lineRule="atLeast"/>
        <w:rPr>
          <w:rFonts w:eastAsia="楷体_GB2312"/>
          <w:bCs/>
          <w:sz w:val="24"/>
        </w:rPr>
      </w:pPr>
      <w:r>
        <w:rPr>
          <w:rFonts w:eastAsia="楷体_GB2312"/>
          <w:bCs/>
          <w:sz w:val="24"/>
        </w:rPr>
        <w:t>以上主体合称为双方，单称为一方。</w:t>
      </w:r>
    </w:p>
    <w:p w14:paraId="0675358C">
      <w:pPr>
        <w:pStyle w:val="11"/>
      </w:pPr>
    </w:p>
    <w:p w14:paraId="5993E2AC">
      <w:pPr>
        <w:pStyle w:val="11"/>
      </w:pPr>
      <w:r>
        <w:t>鉴于：</w:t>
      </w:r>
    </w:p>
    <w:p w14:paraId="196BBDC6">
      <w:pPr>
        <w:rPr>
          <w:rFonts w:eastAsia="楷体_GB2312"/>
        </w:rPr>
      </w:pPr>
    </w:p>
    <w:p w14:paraId="555C0DE0">
      <w:pPr>
        <w:pStyle w:val="35"/>
        <w:numPr>
          <w:ilvl w:val="0"/>
          <w:numId w:val="3"/>
        </w:numPr>
        <w:tabs>
          <w:tab w:val="left" w:pos="900"/>
          <w:tab w:val="left" w:pos="1785"/>
        </w:tabs>
        <w:spacing w:line="380" w:lineRule="exact"/>
        <w:rPr>
          <w:rFonts w:eastAsia="楷体_GB2312"/>
        </w:rPr>
      </w:pPr>
      <w:r>
        <w:rPr>
          <w:rFonts w:eastAsia="楷体_GB2312"/>
        </w:rPr>
        <w:t>“委托人”愿意将其合法所有的“信贷资产”委托给“受托人”设立“信托”，由“受托人”管理、运用、处分“信托财产”。</w:t>
      </w:r>
    </w:p>
    <w:p w14:paraId="478D2603">
      <w:pPr>
        <w:pStyle w:val="36"/>
        <w:spacing w:after="0" w:line="380" w:lineRule="exact"/>
        <w:ind w:left="0" w:leftChars="0"/>
        <w:rPr>
          <w:rFonts w:eastAsia="楷体_GB2312"/>
          <w:sz w:val="24"/>
        </w:rPr>
      </w:pPr>
    </w:p>
    <w:p w14:paraId="0CF8208D">
      <w:pPr>
        <w:pStyle w:val="35"/>
        <w:numPr>
          <w:ilvl w:val="0"/>
          <w:numId w:val="3"/>
        </w:numPr>
        <w:tabs>
          <w:tab w:val="left" w:pos="425"/>
          <w:tab w:val="left" w:pos="992"/>
        </w:tabs>
        <w:spacing w:line="380" w:lineRule="exact"/>
        <w:rPr>
          <w:rFonts w:eastAsia="楷体_GB2312"/>
        </w:rPr>
      </w:pPr>
      <w:r>
        <w:rPr>
          <w:rFonts w:eastAsia="楷体_GB2312"/>
        </w:rPr>
        <w:t>“受托人”为依法设立的信托公司，有权以“受托人”的身份开展信贷资产证券化特定目的信托业务。</w:t>
      </w:r>
    </w:p>
    <w:p w14:paraId="2605846F">
      <w:pPr>
        <w:pStyle w:val="9"/>
        <w:ind w:left="0" w:leftChars="0"/>
        <w:rPr>
          <w:rFonts w:eastAsia="楷体_GB2312"/>
        </w:rPr>
      </w:pPr>
    </w:p>
    <w:p w14:paraId="3CB66D8B">
      <w:pPr>
        <w:spacing w:line="380" w:lineRule="atLeast"/>
        <w:ind w:firstLine="480"/>
        <w:rPr>
          <w:rFonts w:eastAsia="楷体_GB2312"/>
          <w:sz w:val="24"/>
        </w:rPr>
      </w:pPr>
      <w:r>
        <w:rPr>
          <w:rFonts w:eastAsia="楷体_GB2312"/>
          <w:sz w:val="24"/>
        </w:rPr>
        <w:t>根据《中华人民共和国信托法》《中华人民共和国民法典》《信托公司管理办法》《</w:t>
      </w:r>
      <w:r>
        <w:rPr>
          <w:rFonts w:eastAsia="楷体_GB2312"/>
          <w:color w:val="000000"/>
          <w:sz w:val="24"/>
        </w:rPr>
        <w:t>信贷资产证券化试点管理办法》《金融机构信贷资产证券化试点监督管理办法》</w:t>
      </w:r>
      <w:r>
        <w:rPr>
          <w:rFonts w:eastAsia="楷体_GB2312"/>
          <w:sz w:val="24"/>
        </w:rPr>
        <w:t>《中国银保监会办公厅关于银行业金融机构信贷资产证券化信息登记有关事项的通知》（银保监办发〔2020〕99号）及其他有关“中国法律”，本着平等、互利、诚实信用的原则，在充分友好协商的基础上，“委托人”和“受托人”就“信贷资产”设立“信托”和发行“资产支持证券”事宜达成本合同，以昭信守。</w:t>
      </w:r>
    </w:p>
    <w:p w14:paraId="3D953175">
      <w:pPr>
        <w:spacing w:before="156" w:beforeLines="50" w:after="156" w:afterLines="50" w:line="240" w:lineRule="atLeast"/>
        <w:rPr>
          <w:rFonts w:eastAsia="楷体_GB2312"/>
          <w:b/>
          <w:i/>
          <w:iCs/>
          <w:snapToGrid w:val="0"/>
          <w:color w:val="FF0000"/>
          <w:kern w:val="28"/>
          <w:sz w:val="24"/>
        </w:rPr>
      </w:pPr>
      <w:r>
        <w:rPr>
          <w:rFonts w:eastAsia="楷体_GB2312"/>
          <w:b/>
          <w:i/>
          <w:iCs/>
          <w:snapToGrid w:val="0"/>
          <w:color w:val="FF0000"/>
          <w:kern w:val="28"/>
          <w:sz w:val="24"/>
        </w:rPr>
        <w:t>【注：就本合同引用的法律法规，均应根据届时适用的最新法律法规进行补充和调整，下同。】</w:t>
      </w:r>
    </w:p>
    <w:p w14:paraId="1F9725AE">
      <w:pPr>
        <w:spacing w:before="156" w:beforeLines="50" w:after="156" w:afterLines="50" w:line="240" w:lineRule="atLeast"/>
        <w:rPr>
          <w:rFonts w:eastAsia="楷体_GB2312"/>
          <w:b/>
          <w:i/>
          <w:iCs/>
          <w:snapToGrid w:val="0"/>
          <w:color w:val="FF0000"/>
          <w:kern w:val="28"/>
          <w:sz w:val="24"/>
        </w:rPr>
      </w:pPr>
    </w:p>
    <w:p w14:paraId="048D4554">
      <w:pPr>
        <w:numPr>
          <w:ilvl w:val="0"/>
          <w:numId w:val="4"/>
        </w:numPr>
        <w:spacing w:line="380" w:lineRule="atLeast"/>
        <w:outlineLvl w:val="0"/>
        <w:rPr>
          <w:rFonts w:eastAsia="楷体_GB2312"/>
          <w:b/>
          <w:sz w:val="24"/>
        </w:rPr>
      </w:pPr>
      <w:bookmarkStart w:id="0" w:name="_Toc92612901"/>
      <w:bookmarkStart w:id="1" w:name="_Toc17732"/>
      <w:bookmarkStart w:id="2" w:name="_Toc51277211"/>
      <w:bookmarkStart w:id="3" w:name="_Toc110153411"/>
      <w:bookmarkStart w:id="4" w:name="_Toc111281763"/>
      <w:bookmarkStart w:id="5" w:name="_Toc373951542"/>
      <w:r>
        <w:rPr>
          <w:rFonts w:eastAsia="楷体_GB2312"/>
          <w:b/>
          <w:sz w:val="24"/>
        </w:rPr>
        <w:t>定义</w:t>
      </w:r>
      <w:bookmarkEnd w:id="0"/>
      <w:bookmarkEnd w:id="1"/>
      <w:bookmarkEnd w:id="2"/>
      <w:bookmarkEnd w:id="3"/>
      <w:bookmarkEnd w:id="4"/>
      <w:bookmarkEnd w:id="5"/>
    </w:p>
    <w:p w14:paraId="3AA95513">
      <w:pPr>
        <w:spacing w:line="380" w:lineRule="atLeast"/>
        <w:rPr>
          <w:rFonts w:eastAsia="楷体_GB2312"/>
          <w:b/>
          <w:sz w:val="24"/>
        </w:rPr>
      </w:pPr>
    </w:p>
    <w:p w14:paraId="0D317E2A">
      <w:pPr>
        <w:spacing w:line="380" w:lineRule="atLeast"/>
        <w:ind w:left="404" w:leftChars="202"/>
        <w:rPr>
          <w:rFonts w:eastAsia="楷体_GB2312"/>
          <w:sz w:val="24"/>
        </w:rPr>
      </w:pPr>
      <w:r>
        <w:rPr>
          <w:rFonts w:eastAsia="楷体_GB2312"/>
          <w:sz w:val="24"/>
        </w:rPr>
        <w:t>在本合同中，除非上下文另有解释或文义另作说明，</w:t>
      </w:r>
      <w:r>
        <w:rPr>
          <w:rFonts w:eastAsia="楷体_GB2312"/>
          <w:bCs/>
          <w:sz w:val="24"/>
        </w:rPr>
        <w:t>本合同中的词语</w:t>
      </w:r>
      <w:r>
        <w:rPr>
          <w:rFonts w:eastAsia="楷体_GB2312"/>
          <w:sz w:val="24"/>
        </w:rPr>
        <w:t>或简称</w:t>
      </w:r>
      <w:r>
        <w:rPr>
          <w:rFonts w:eastAsia="楷体_GB2312"/>
          <w:bCs/>
          <w:sz w:val="24"/>
        </w:rPr>
        <w:t>以及所述的解释规则与由本合同双方签订的编号为【主定义表编号】的《【信托名称】主定义表》（“《主定义表》”）中所定义的词语以及所列示的解释规则，具有相同的含义。</w:t>
      </w:r>
    </w:p>
    <w:p w14:paraId="3EC1D6F1">
      <w:pPr>
        <w:spacing w:line="380" w:lineRule="atLeast"/>
        <w:rPr>
          <w:rFonts w:eastAsia="楷体_GB2312"/>
          <w:bCs/>
          <w:sz w:val="24"/>
        </w:rPr>
      </w:pPr>
    </w:p>
    <w:p w14:paraId="2D5FB28B">
      <w:pPr>
        <w:numPr>
          <w:ilvl w:val="0"/>
          <w:numId w:val="4"/>
        </w:numPr>
        <w:spacing w:line="380" w:lineRule="atLeast"/>
        <w:outlineLvl w:val="0"/>
        <w:rPr>
          <w:rFonts w:eastAsia="楷体_GB2312"/>
          <w:b/>
          <w:bCs/>
          <w:sz w:val="24"/>
        </w:rPr>
      </w:pPr>
      <w:bookmarkStart w:id="6" w:name="_Toc110153412"/>
      <w:bookmarkStart w:id="7" w:name="_Toc30981"/>
      <w:bookmarkStart w:id="8" w:name="_Toc51277212"/>
      <w:bookmarkStart w:id="9" w:name="_Toc111281764"/>
      <w:bookmarkStart w:id="10" w:name="_Toc373951543"/>
      <w:r>
        <w:rPr>
          <w:rFonts w:eastAsia="楷体_GB2312"/>
          <w:b/>
          <w:bCs/>
          <w:sz w:val="24"/>
        </w:rPr>
        <w:t>信托目的</w:t>
      </w:r>
      <w:bookmarkEnd w:id="6"/>
      <w:bookmarkEnd w:id="7"/>
      <w:bookmarkEnd w:id="8"/>
      <w:bookmarkEnd w:id="9"/>
      <w:bookmarkEnd w:id="10"/>
    </w:p>
    <w:p w14:paraId="4B5153EA">
      <w:pPr>
        <w:tabs>
          <w:tab w:val="left" w:pos="900"/>
        </w:tabs>
        <w:spacing w:line="380" w:lineRule="atLeast"/>
        <w:ind w:left="684" w:leftChars="342" w:firstLine="240" w:firstLineChars="100"/>
        <w:rPr>
          <w:rFonts w:eastAsia="楷体_GB2312"/>
          <w:bCs/>
          <w:sz w:val="24"/>
        </w:rPr>
      </w:pPr>
    </w:p>
    <w:p w14:paraId="0A0D148C">
      <w:pPr>
        <w:numPr>
          <w:ilvl w:val="1"/>
          <w:numId w:val="4"/>
        </w:numPr>
        <w:spacing w:line="380" w:lineRule="atLeast"/>
        <w:rPr>
          <w:rFonts w:eastAsia="楷体_GB2312"/>
          <w:sz w:val="24"/>
        </w:rPr>
      </w:pPr>
      <w:r>
        <w:rPr>
          <w:rFonts w:eastAsia="楷体_GB2312"/>
          <w:sz w:val="24"/>
        </w:rPr>
        <w:t>本“信托”系“委托人”为实现“信贷资产”的证券化而设立。本“信托”将被设立成为特殊目的载体，“信托财产”由“受托人”为“资产支持证券持有人”的利益而管理、运用和处分。</w:t>
      </w:r>
    </w:p>
    <w:p w14:paraId="32D9FED9">
      <w:pPr>
        <w:tabs>
          <w:tab w:val="left" w:pos="900"/>
        </w:tabs>
        <w:spacing w:line="380" w:lineRule="atLeast"/>
        <w:rPr>
          <w:rFonts w:eastAsia="楷体_GB2312"/>
          <w:sz w:val="24"/>
        </w:rPr>
      </w:pPr>
    </w:p>
    <w:p w14:paraId="7012A950">
      <w:pPr>
        <w:numPr>
          <w:ilvl w:val="1"/>
          <w:numId w:val="4"/>
        </w:numPr>
        <w:spacing w:line="380" w:lineRule="atLeast"/>
        <w:rPr>
          <w:rFonts w:eastAsia="楷体_GB2312"/>
          <w:sz w:val="24"/>
        </w:rPr>
      </w:pPr>
      <w:r>
        <w:rPr>
          <w:rFonts w:eastAsia="楷体_GB2312"/>
          <w:sz w:val="24"/>
        </w:rPr>
        <w:t>通过“信托”的设立，实现“信贷资产”与“委托人”的其他自有资产的风险隔离，实现“信贷资产”与“委托人”自身的破产风险相隔离，实现投资者以“信托财产”为限进行追索，从而保护“资产支持证券持有人”的利益，提高金融资源配置效率。</w:t>
      </w:r>
    </w:p>
    <w:p w14:paraId="16F66424">
      <w:pPr>
        <w:spacing w:line="380" w:lineRule="atLeast"/>
        <w:rPr>
          <w:rFonts w:eastAsia="楷体_GB2312"/>
          <w:bCs/>
          <w:sz w:val="24"/>
        </w:rPr>
      </w:pPr>
    </w:p>
    <w:p w14:paraId="056C7925">
      <w:pPr>
        <w:numPr>
          <w:ilvl w:val="0"/>
          <w:numId w:val="4"/>
        </w:numPr>
        <w:spacing w:line="380" w:lineRule="atLeast"/>
        <w:outlineLvl w:val="0"/>
        <w:rPr>
          <w:rFonts w:eastAsia="楷体_GB2312"/>
          <w:b/>
          <w:sz w:val="24"/>
        </w:rPr>
      </w:pPr>
      <w:bookmarkStart w:id="11" w:name="_Toc111281765"/>
      <w:bookmarkStart w:id="12" w:name="_Toc373951544"/>
      <w:bookmarkStart w:id="13" w:name="_Toc92612903"/>
      <w:bookmarkStart w:id="14" w:name="_Toc51277213"/>
      <w:bookmarkStart w:id="15" w:name="_Toc11128"/>
      <w:bookmarkStart w:id="16" w:name="_Toc110153413"/>
      <w:r>
        <w:rPr>
          <w:rFonts w:eastAsia="楷体_GB2312"/>
          <w:b/>
          <w:sz w:val="24"/>
        </w:rPr>
        <w:t>信托的设立</w:t>
      </w:r>
      <w:bookmarkEnd w:id="11"/>
      <w:bookmarkEnd w:id="12"/>
      <w:bookmarkEnd w:id="13"/>
      <w:bookmarkEnd w:id="14"/>
      <w:bookmarkEnd w:id="15"/>
      <w:bookmarkEnd w:id="16"/>
    </w:p>
    <w:p w14:paraId="2D703F88">
      <w:pPr>
        <w:spacing w:line="380" w:lineRule="atLeast"/>
        <w:rPr>
          <w:rFonts w:eastAsia="楷体_GB2312"/>
          <w:b/>
          <w:sz w:val="24"/>
        </w:rPr>
      </w:pPr>
    </w:p>
    <w:p w14:paraId="46421BFF">
      <w:pPr>
        <w:numPr>
          <w:ilvl w:val="1"/>
          <w:numId w:val="4"/>
        </w:numPr>
        <w:tabs>
          <w:tab w:val="left" w:pos="900"/>
          <w:tab w:val="clear" w:pos="992"/>
        </w:tabs>
        <w:spacing w:line="380" w:lineRule="atLeast"/>
        <w:outlineLvl w:val="1"/>
        <w:rPr>
          <w:rFonts w:eastAsia="楷体_GB2312"/>
          <w:b/>
          <w:sz w:val="24"/>
        </w:rPr>
      </w:pPr>
      <w:bookmarkStart w:id="17" w:name="_Toc110153414"/>
      <w:bookmarkStart w:id="18" w:name="_Toc111281766"/>
      <w:r>
        <w:rPr>
          <w:rFonts w:eastAsia="楷体_GB2312"/>
          <w:b/>
          <w:sz w:val="24"/>
        </w:rPr>
        <w:t>信托的名称</w:t>
      </w:r>
      <w:bookmarkEnd w:id="17"/>
      <w:bookmarkEnd w:id="18"/>
    </w:p>
    <w:p w14:paraId="7138EC70">
      <w:pPr>
        <w:spacing w:line="380" w:lineRule="atLeast"/>
        <w:ind w:left="420"/>
        <w:rPr>
          <w:rFonts w:eastAsia="楷体_GB2312"/>
          <w:b/>
          <w:sz w:val="24"/>
        </w:rPr>
      </w:pPr>
    </w:p>
    <w:p w14:paraId="2FD3669F">
      <w:pPr>
        <w:spacing w:line="380" w:lineRule="atLeast"/>
        <w:ind w:left="840" w:firstLine="57" w:firstLineChars="24"/>
        <w:rPr>
          <w:rFonts w:eastAsia="楷体_GB2312"/>
          <w:bCs/>
          <w:sz w:val="24"/>
        </w:rPr>
      </w:pPr>
      <w:r>
        <w:rPr>
          <w:rFonts w:eastAsia="楷体_GB2312"/>
          <w:sz w:val="24"/>
        </w:rPr>
        <w:t>“</w:t>
      </w:r>
      <w:r>
        <w:rPr>
          <w:rFonts w:eastAsia="楷体_GB2312"/>
          <w:bCs/>
          <w:sz w:val="24"/>
        </w:rPr>
        <w:t>信托</w:t>
      </w:r>
      <w:r>
        <w:rPr>
          <w:rFonts w:eastAsia="楷体_GB2312"/>
          <w:sz w:val="24"/>
        </w:rPr>
        <w:t>”</w:t>
      </w:r>
      <w:r>
        <w:rPr>
          <w:rFonts w:eastAsia="楷体_GB2312"/>
          <w:bCs/>
          <w:sz w:val="24"/>
        </w:rPr>
        <w:t>的名称为：【信托名称】。</w:t>
      </w:r>
    </w:p>
    <w:p w14:paraId="5C14A4D2">
      <w:pPr>
        <w:spacing w:line="380" w:lineRule="atLeast"/>
        <w:rPr>
          <w:rFonts w:eastAsia="楷体_GB2312"/>
          <w:bCs/>
          <w:sz w:val="24"/>
        </w:rPr>
      </w:pPr>
    </w:p>
    <w:p w14:paraId="1F03FBEF">
      <w:pPr>
        <w:numPr>
          <w:ilvl w:val="1"/>
          <w:numId w:val="4"/>
        </w:numPr>
        <w:spacing w:line="360" w:lineRule="auto"/>
        <w:rPr>
          <w:rFonts w:eastAsia="楷体_GB2312"/>
          <w:b/>
          <w:color w:val="000000"/>
          <w:sz w:val="24"/>
        </w:rPr>
      </w:pPr>
      <w:bookmarkStart w:id="19" w:name="_Toc106417340"/>
      <w:bookmarkEnd w:id="19"/>
      <w:bookmarkStart w:id="20" w:name="_Toc111281767"/>
      <w:bookmarkStart w:id="21" w:name="_Toc92612904"/>
      <w:bookmarkStart w:id="22" w:name="_Toc110153415"/>
      <w:r>
        <w:rPr>
          <w:rFonts w:eastAsia="楷体_GB2312"/>
          <w:b/>
          <w:color w:val="000000"/>
          <w:sz w:val="24"/>
        </w:rPr>
        <w:t>信托类别</w:t>
      </w:r>
    </w:p>
    <w:p w14:paraId="76E4CC06">
      <w:pPr>
        <w:spacing w:line="380" w:lineRule="atLeast"/>
        <w:ind w:left="840" w:firstLine="57" w:firstLineChars="24"/>
        <w:rPr>
          <w:rFonts w:eastAsia="楷体_GB2312"/>
          <w:bCs/>
          <w:color w:val="000000"/>
          <w:sz w:val="24"/>
        </w:rPr>
      </w:pPr>
    </w:p>
    <w:p w14:paraId="4273F7F8">
      <w:pPr>
        <w:spacing w:line="380" w:lineRule="atLeast"/>
        <w:ind w:left="840" w:firstLine="57" w:firstLineChars="24"/>
        <w:rPr>
          <w:rFonts w:eastAsia="楷体_GB2312"/>
          <w:bCs/>
          <w:color w:val="000000"/>
          <w:sz w:val="24"/>
        </w:rPr>
      </w:pPr>
      <w:r>
        <w:rPr>
          <w:rFonts w:eastAsia="楷体_GB2312"/>
          <w:bCs/>
          <w:color w:val="000000"/>
          <w:sz w:val="24"/>
        </w:rPr>
        <w:t>“信托”的类别为：【资产证券化服务信托】。</w:t>
      </w:r>
    </w:p>
    <w:p w14:paraId="75FCAD3F">
      <w:pPr>
        <w:spacing w:line="380" w:lineRule="atLeast"/>
        <w:ind w:left="840" w:firstLine="58" w:firstLineChars="24"/>
        <w:rPr>
          <w:rFonts w:eastAsia="楷体_GB2312"/>
          <w:b/>
          <w:sz w:val="24"/>
        </w:rPr>
      </w:pPr>
    </w:p>
    <w:p w14:paraId="798F4704">
      <w:pPr>
        <w:numPr>
          <w:ilvl w:val="1"/>
          <w:numId w:val="4"/>
        </w:numPr>
        <w:tabs>
          <w:tab w:val="clear" w:pos="992"/>
        </w:tabs>
        <w:spacing w:line="380" w:lineRule="atLeast"/>
        <w:outlineLvl w:val="1"/>
        <w:rPr>
          <w:rFonts w:eastAsia="楷体_GB2312"/>
          <w:b/>
          <w:sz w:val="24"/>
        </w:rPr>
      </w:pPr>
      <w:r>
        <w:rPr>
          <w:rFonts w:eastAsia="楷体_GB2312"/>
          <w:b/>
          <w:color w:val="000000"/>
          <w:sz w:val="24"/>
        </w:rPr>
        <w:t>信托业务品种</w:t>
      </w:r>
    </w:p>
    <w:p w14:paraId="08A44B7C">
      <w:pPr>
        <w:spacing w:line="380" w:lineRule="atLeast"/>
        <w:ind w:left="840" w:firstLine="57" w:firstLineChars="24"/>
        <w:rPr>
          <w:rFonts w:eastAsia="楷体_GB2312"/>
          <w:bCs/>
          <w:color w:val="000000"/>
          <w:sz w:val="24"/>
        </w:rPr>
      </w:pPr>
    </w:p>
    <w:p w14:paraId="21F07E3C">
      <w:pPr>
        <w:spacing w:line="380" w:lineRule="atLeast"/>
        <w:ind w:left="840" w:firstLine="57" w:firstLineChars="24"/>
        <w:rPr>
          <w:rFonts w:eastAsia="楷体_GB2312"/>
          <w:b/>
          <w:color w:val="000000"/>
          <w:sz w:val="24"/>
        </w:rPr>
      </w:pPr>
      <w:r>
        <w:rPr>
          <w:rFonts w:eastAsia="楷体_GB2312"/>
          <w:bCs/>
          <w:color w:val="000000"/>
          <w:sz w:val="24"/>
        </w:rPr>
        <w:t>“信托”的业务品种为：【信贷资产证券化服务信托】。</w:t>
      </w:r>
    </w:p>
    <w:p w14:paraId="22278164">
      <w:pPr>
        <w:spacing w:line="380" w:lineRule="atLeast"/>
        <w:ind w:left="840" w:firstLine="58" w:firstLineChars="24"/>
        <w:rPr>
          <w:rFonts w:eastAsia="楷体_GB2312"/>
          <w:b/>
          <w:sz w:val="24"/>
        </w:rPr>
      </w:pPr>
    </w:p>
    <w:p w14:paraId="609B98A4">
      <w:pPr>
        <w:numPr>
          <w:ilvl w:val="1"/>
          <w:numId w:val="4"/>
        </w:numPr>
        <w:tabs>
          <w:tab w:val="clear" w:pos="992"/>
        </w:tabs>
        <w:spacing w:line="380" w:lineRule="atLeast"/>
        <w:outlineLvl w:val="1"/>
        <w:rPr>
          <w:rFonts w:eastAsia="楷体_GB2312"/>
          <w:b/>
          <w:sz w:val="24"/>
        </w:rPr>
      </w:pPr>
      <w:r>
        <w:rPr>
          <w:rFonts w:eastAsia="楷体_GB2312"/>
          <w:b/>
          <w:sz w:val="24"/>
        </w:rPr>
        <w:t>信托当事人</w:t>
      </w:r>
      <w:bookmarkEnd w:id="20"/>
      <w:bookmarkEnd w:id="21"/>
      <w:bookmarkEnd w:id="22"/>
    </w:p>
    <w:p w14:paraId="4C3BB813">
      <w:pPr>
        <w:tabs>
          <w:tab w:val="left" w:pos="900"/>
        </w:tabs>
        <w:spacing w:line="380" w:lineRule="atLeast"/>
        <w:rPr>
          <w:rFonts w:eastAsia="楷体_GB2312"/>
          <w:b/>
          <w:sz w:val="24"/>
        </w:rPr>
      </w:pPr>
    </w:p>
    <w:p w14:paraId="2A118B58">
      <w:pPr>
        <w:numPr>
          <w:ilvl w:val="2"/>
          <w:numId w:val="4"/>
        </w:numPr>
        <w:tabs>
          <w:tab w:val="left" w:pos="900"/>
        </w:tabs>
        <w:spacing w:line="380" w:lineRule="atLeast"/>
        <w:ind w:left="1620" w:hanging="769"/>
        <w:rPr>
          <w:rFonts w:eastAsia="楷体_GB2312"/>
          <w:b/>
          <w:bCs/>
          <w:sz w:val="24"/>
        </w:rPr>
      </w:pPr>
      <w:r>
        <w:rPr>
          <w:rFonts w:eastAsia="楷体_GB2312"/>
          <w:b/>
          <w:bCs/>
          <w:sz w:val="24"/>
        </w:rPr>
        <w:t>委托人：</w:t>
      </w:r>
      <w:r>
        <w:rPr>
          <w:rFonts w:eastAsia="楷体_GB2312"/>
          <w:sz w:val="24"/>
        </w:rPr>
        <w:t>【发起机构全称】。</w:t>
      </w:r>
    </w:p>
    <w:p w14:paraId="7E1B6BA8">
      <w:pPr>
        <w:spacing w:line="380" w:lineRule="atLeast"/>
        <w:rPr>
          <w:rFonts w:eastAsia="楷体_GB2312"/>
          <w:b/>
          <w:bCs/>
          <w:sz w:val="24"/>
        </w:rPr>
      </w:pPr>
    </w:p>
    <w:p w14:paraId="7CFE112D">
      <w:pPr>
        <w:numPr>
          <w:ilvl w:val="2"/>
          <w:numId w:val="4"/>
        </w:numPr>
        <w:tabs>
          <w:tab w:val="left" w:pos="900"/>
        </w:tabs>
        <w:spacing w:line="380" w:lineRule="atLeast"/>
        <w:ind w:left="1620" w:hanging="769"/>
        <w:rPr>
          <w:rFonts w:eastAsia="楷体_GB2312"/>
          <w:b/>
          <w:bCs/>
          <w:sz w:val="24"/>
        </w:rPr>
      </w:pPr>
      <w:r>
        <w:rPr>
          <w:rFonts w:eastAsia="楷体_GB2312"/>
          <w:b/>
          <w:bCs/>
          <w:sz w:val="24"/>
        </w:rPr>
        <w:t>受托人：</w:t>
      </w:r>
      <w:r>
        <w:rPr>
          <w:rFonts w:eastAsia="楷体_GB2312"/>
          <w:bCs/>
          <w:sz w:val="24"/>
        </w:rPr>
        <w:t>【受托机构全称】。</w:t>
      </w:r>
    </w:p>
    <w:p w14:paraId="39E5E302">
      <w:pPr>
        <w:spacing w:line="380" w:lineRule="atLeast"/>
        <w:rPr>
          <w:rFonts w:eastAsia="楷体_GB2312"/>
          <w:b/>
          <w:bCs/>
          <w:sz w:val="24"/>
        </w:rPr>
      </w:pPr>
    </w:p>
    <w:p w14:paraId="4342A0B6">
      <w:pPr>
        <w:numPr>
          <w:ilvl w:val="2"/>
          <w:numId w:val="4"/>
        </w:numPr>
        <w:tabs>
          <w:tab w:val="left" w:pos="900"/>
        </w:tabs>
        <w:spacing w:line="380" w:lineRule="atLeast"/>
        <w:ind w:left="1620" w:hanging="769"/>
        <w:rPr>
          <w:rFonts w:eastAsia="楷体_GB2312"/>
          <w:b/>
          <w:bCs/>
          <w:sz w:val="24"/>
        </w:rPr>
      </w:pPr>
      <w:r>
        <w:rPr>
          <w:rFonts w:eastAsia="楷体_GB2312"/>
          <w:b/>
          <w:bCs/>
          <w:sz w:val="24"/>
        </w:rPr>
        <w:t>受益人：</w:t>
      </w:r>
      <w:r>
        <w:rPr>
          <w:rFonts w:eastAsia="楷体_GB2312"/>
          <w:sz w:val="24"/>
        </w:rPr>
        <w:t>“</w:t>
      </w:r>
      <w:r>
        <w:rPr>
          <w:rFonts w:eastAsia="楷体_GB2312"/>
          <w:bCs/>
          <w:sz w:val="24"/>
        </w:rPr>
        <w:t>资产支持证券持有人</w:t>
      </w:r>
      <w:r>
        <w:rPr>
          <w:rFonts w:eastAsia="楷体_GB2312"/>
          <w:sz w:val="24"/>
        </w:rPr>
        <w:t>”</w:t>
      </w:r>
      <w:r>
        <w:rPr>
          <w:rFonts w:eastAsia="楷体_GB2312"/>
          <w:bCs/>
          <w:sz w:val="24"/>
        </w:rPr>
        <w:t>。具体分为：【“优先A档资产支持证券持有人”、“优先B档资产支持证券持有人”和“次级资产支持证券持有人”】，以及各类别</w:t>
      </w:r>
      <w:r>
        <w:rPr>
          <w:rFonts w:eastAsia="楷体_GB2312"/>
          <w:sz w:val="24"/>
        </w:rPr>
        <w:t>“</w:t>
      </w:r>
      <w:r>
        <w:rPr>
          <w:rFonts w:eastAsia="楷体_GB2312"/>
          <w:bCs/>
          <w:sz w:val="24"/>
        </w:rPr>
        <w:t>资产支持证券持有人</w:t>
      </w:r>
      <w:r>
        <w:rPr>
          <w:rFonts w:eastAsia="楷体_GB2312"/>
          <w:sz w:val="24"/>
        </w:rPr>
        <w:t>”</w:t>
      </w:r>
      <w:r>
        <w:rPr>
          <w:rFonts w:eastAsia="楷体_GB2312"/>
          <w:bCs/>
          <w:sz w:val="24"/>
        </w:rPr>
        <w:t>的合法继承人和受让人</w:t>
      </w:r>
      <w:r>
        <w:rPr>
          <w:rFonts w:eastAsia="楷体_GB2312"/>
          <w:sz w:val="24"/>
        </w:rPr>
        <w:t>。</w:t>
      </w:r>
    </w:p>
    <w:p w14:paraId="6E1C4FEA">
      <w:pPr>
        <w:spacing w:line="380" w:lineRule="atLeast"/>
        <w:rPr>
          <w:rFonts w:eastAsia="楷体_GB2312"/>
          <w:bCs/>
          <w:sz w:val="24"/>
        </w:rPr>
      </w:pPr>
    </w:p>
    <w:p w14:paraId="4F32B021">
      <w:pPr>
        <w:numPr>
          <w:ilvl w:val="1"/>
          <w:numId w:val="4"/>
        </w:numPr>
        <w:tabs>
          <w:tab w:val="left" w:pos="900"/>
        </w:tabs>
        <w:spacing w:line="380" w:lineRule="atLeast"/>
        <w:outlineLvl w:val="1"/>
        <w:rPr>
          <w:rFonts w:eastAsia="楷体_GB2312"/>
          <w:b/>
          <w:sz w:val="24"/>
        </w:rPr>
      </w:pPr>
      <w:bookmarkStart w:id="23" w:name="_Toc110153416"/>
      <w:bookmarkStart w:id="24" w:name="_Toc111281768"/>
      <w:bookmarkStart w:id="25" w:name="_Toc92612905"/>
      <w:r>
        <w:rPr>
          <w:rFonts w:eastAsia="楷体_GB2312"/>
          <w:b/>
          <w:sz w:val="24"/>
        </w:rPr>
        <w:t>信托声明</w:t>
      </w:r>
      <w:bookmarkEnd w:id="23"/>
      <w:bookmarkEnd w:id="24"/>
      <w:bookmarkEnd w:id="25"/>
    </w:p>
    <w:p w14:paraId="669BC005">
      <w:pPr>
        <w:tabs>
          <w:tab w:val="left" w:pos="900"/>
        </w:tabs>
        <w:spacing w:line="380" w:lineRule="atLeast"/>
        <w:rPr>
          <w:rFonts w:eastAsia="楷体_GB2312"/>
          <w:b/>
          <w:sz w:val="24"/>
        </w:rPr>
      </w:pPr>
    </w:p>
    <w:p w14:paraId="00227E73">
      <w:pPr>
        <w:numPr>
          <w:ilvl w:val="2"/>
          <w:numId w:val="4"/>
        </w:numPr>
        <w:tabs>
          <w:tab w:val="left" w:pos="900"/>
        </w:tabs>
        <w:spacing w:line="380" w:lineRule="atLeast"/>
        <w:ind w:left="1620" w:hanging="769"/>
        <w:rPr>
          <w:rFonts w:eastAsia="楷体_GB2312"/>
          <w:bCs/>
          <w:sz w:val="24"/>
        </w:rPr>
      </w:pPr>
      <w:r>
        <w:rPr>
          <w:rFonts w:eastAsia="楷体_GB2312"/>
          <w:sz w:val="24"/>
        </w:rPr>
        <w:t>“</w:t>
      </w:r>
      <w:r>
        <w:rPr>
          <w:rFonts w:eastAsia="楷体_GB2312"/>
          <w:bCs/>
          <w:sz w:val="24"/>
        </w:rPr>
        <w:t>委托人</w:t>
      </w:r>
      <w:r>
        <w:rPr>
          <w:rFonts w:eastAsia="楷体_GB2312"/>
          <w:sz w:val="24"/>
        </w:rPr>
        <w:t>”</w:t>
      </w:r>
      <w:r>
        <w:rPr>
          <w:rFonts w:eastAsia="楷体_GB2312"/>
          <w:bCs/>
          <w:sz w:val="24"/>
        </w:rPr>
        <w:t>自愿按照本合同的约定将其合法所有并且依法可以转让的</w:t>
      </w:r>
      <w:r>
        <w:rPr>
          <w:rFonts w:eastAsia="楷体_GB2312"/>
          <w:sz w:val="24"/>
        </w:rPr>
        <w:t>“信贷资产”作为“信托财产”</w:t>
      </w:r>
      <w:r>
        <w:rPr>
          <w:rFonts w:eastAsia="楷体_GB2312"/>
          <w:bCs/>
          <w:sz w:val="24"/>
        </w:rPr>
        <w:t>委托给</w:t>
      </w:r>
      <w:r>
        <w:rPr>
          <w:rFonts w:eastAsia="楷体_GB2312"/>
          <w:sz w:val="24"/>
        </w:rPr>
        <w:t>“</w:t>
      </w:r>
      <w:r>
        <w:rPr>
          <w:rFonts w:eastAsia="楷体_GB2312"/>
          <w:bCs/>
          <w:sz w:val="24"/>
        </w:rPr>
        <w:t>受托人</w:t>
      </w:r>
      <w:r>
        <w:rPr>
          <w:rFonts w:eastAsia="楷体_GB2312"/>
          <w:sz w:val="24"/>
        </w:rPr>
        <w:t>”</w:t>
      </w:r>
      <w:r>
        <w:rPr>
          <w:rFonts w:eastAsia="楷体_GB2312"/>
          <w:bCs/>
          <w:sz w:val="24"/>
        </w:rPr>
        <w:t>设立</w:t>
      </w:r>
      <w:r>
        <w:rPr>
          <w:rFonts w:eastAsia="楷体_GB2312"/>
          <w:sz w:val="24"/>
        </w:rPr>
        <w:t>“</w:t>
      </w:r>
      <w:r>
        <w:rPr>
          <w:rFonts w:eastAsia="楷体_GB2312"/>
          <w:bCs/>
          <w:sz w:val="24"/>
        </w:rPr>
        <w:t>信托</w:t>
      </w:r>
      <w:r>
        <w:rPr>
          <w:rFonts w:eastAsia="楷体_GB2312"/>
          <w:sz w:val="24"/>
        </w:rPr>
        <w:t>”</w:t>
      </w:r>
      <w:r>
        <w:rPr>
          <w:rFonts w:eastAsia="楷体_GB2312"/>
          <w:bCs/>
          <w:sz w:val="24"/>
        </w:rPr>
        <w:t>。</w:t>
      </w:r>
    </w:p>
    <w:p w14:paraId="4659B434">
      <w:pPr>
        <w:tabs>
          <w:tab w:val="left" w:pos="900"/>
        </w:tabs>
        <w:spacing w:line="380" w:lineRule="atLeast"/>
        <w:rPr>
          <w:rFonts w:eastAsia="楷体_GB2312"/>
          <w:b/>
          <w:bCs/>
          <w:sz w:val="24"/>
        </w:rPr>
      </w:pPr>
    </w:p>
    <w:p w14:paraId="7A631218">
      <w:pPr>
        <w:numPr>
          <w:ilvl w:val="2"/>
          <w:numId w:val="4"/>
        </w:numPr>
        <w:tabs>
          <w:tab w:val="left" w:pos="900"/>
        </w:tabs>
        <w:spacing w:line="380" w:lineRule="atLeast"/>
        <w:ind w:left="1620" w:hanging="769"/>
        <w:rPr>
          <w:rFonts w:eastAsia="楷体_GB2312"/>
          <w:sz w:val="24"/>
        </w:rPr>
      </w:pPr>
      <w:r>
        <w:rPr>
          <w:rFonts w:eastAsia="楷体_GB2312"/>
          <w:sz w:val="24"/>
        </w:rPr>
        <w:t>“</w:t>
      </w:r>
      <w:r>
        <w:rPr>
          <w:rFonts w:eastAsia="楷体_GB2312"/>
          <w:bCs/>
          <w:sz w:val="24"/>
        </w:rPr>
        <w:t>受托人</w:t>
      </w:r>
      <w:r>
        <w:rPr>
          <w:rFonts w:eastAsia="楷体_GB2312"/>
          <w:sz w:val="24"/>
        </w:rPr>
        <w:t>”</w:t>
      </w:r>
      <w:r>
        <w:rPr>
          <w:rFonts w:eastAsia="楷体_GB2312"/>
          <w:bCs/>
          <w:sz w:val="24"/>
        </w:rPr>
        <w:t>同意接受</w:t>
      </w:r>
      <w:r>
        <w:rPr>
          <w:rFonts w:eastAsia="楷体_GB2312"/>
          <w:sz w:val="24"/>
        </w:rPr>
        <w:t>“</w:t>
      </w:r>
      <w:r>
        <w:rPr>
          <w:rFonts w:eastAsia="楷体_GB2312"/>
          <w:bCs/>
          <w:sz w:val="24"/>
        </w:rPr>
        <w:t>委托人</w:t>
      </w:r>
      <w:r>
        <w:rPr>
          <w:rFonts w:eastAsia="楷体_GB2312"/>
          <w:sz w:val="24"/>
        </w:rPr>
        <w:t>”委托</w:t>
      </w:r>
      <w:r>
        <w:rPr>
          <w:rFonts w:eastAsia="楷体_GB2312"/>
          <w:bCs/>
          <w:sz w:val="24"/>
        </w:rPr>
        <w:t>，并按本合同的约定以自己的名义，按本合同的约定而管理、运用、处分</w:t>
      </w:r>
      <w:r>
        <w:rPr>
          <w:rFonts w:eastAsia="楷体_GB2312"/>
          <w:sz w:val="24"/>
        </w:rPr>
        <w:t>“</w:t>
      </w:r>
      <w:r>
        <w:rPr>
          <w:rFonts w:eastAsia="楷体_GB2312"/>
          <w:bCs/>
          <w:sz w:val="24"/>
        </w:rPr>
        <w:t>信托财产</w:t>
      </w:r>
      <w:r>
        <w:rPr>
          <w:rFonts w:eastAsia="楷体_GB2312"/>
          <w:sz w:val="24"/>
        </w:rPr>
        <w:t>”</w:t>
      </w:r>
      <w:r>
        <w:rPr>
          <w:rFonts w:eastAsia="楷体_GB2312"/>
          <w:bCs/>
          <w:sz w:val="24"/>
        </w:rPr>
        <w:t>。</w:t>
      </w:r>
    </w:p>
    <w:p w14:paraId="45BA1DD3">
      <w:pPr>
        <w:pStyle w:val="78"/>
        <w:ind w:firstLine="480"/>
        <w:rPr>
          <w:rFonts w:eastAsia="楷体_GB2312"/>
          <w:sz w:val="24"/>
        </w:rPr>
      </w:pPr>
    </w:p>
    <w:p w14:paraId="10171247">
      <w:pPr>
        <w:numPr>
          <w:ilvl w:val="2"/>
          <w:numId w:val="4"/>
        </w:numPr>
        <w:tabs>
          <w:tab w:val="left" w:pos="900"/>
        </w:tabs>
        <w:spacing w:line="380" w:lineRule="atLeast"/>
        <w:ind w:left="1620" w:hanging="769"/>
        <w:rPr>
          <w:rFonts w:eastAsia="楷体_GB2312"/>
          <w:sz w:val="24"/>
        </w:rPr>
      </w:pPr>
      <w:r>
        <w:rPr>
          <w:rFonts w:eastAsia="楷体_GB2312"/>
          <w:sz w:val="24"/>
        </w:rPr>
        <w:t>“信托”项下“信托财产”管理运用和处分方式等事项均按照“委托人”的意愿在“交易文件”中进行约定，“受托人”严格按照“交易文件”约定履行受托管理职责，包括账户管理、清算分配及提供或出具必要文件等管理“信托财产”事务。</w:t>
      </w:r>
    </w:p>
    <w:p w14:paraId="6024F37A">
      <w:pPr>
        <w:pStyle w:val="78"/>
        <w:ind w:firstLine="480"/>
        <w:rPr>
          <w:rFonts w:eastAsia="楷体_GB2312"/>
          <w:sz w:val="24"/>
        </w:rPr>
      </w:pPr>
    </w:p>
    <w:p w14:paraId="049D6651">
      <w:pPr>
        <w:numPr>
          <w:ilvl w:val="1"/>
          <w:numId w:val="4"/>
        </w:numPr>
        <w:tabs>
          <w:tab w:val="left" w:pos="900"/>
        </w:tabs>
        <w:spacing w:line="380" w:lineRule="atLeast"/>
        <w:outlineLvl w:val="1"/>
        <w:rPr>
          <w:rFonts w:eastAsia="楷体_GB2312"/>
          <w:b/>
          <w:sz w:val="24"/>
        </w:rPr>
      </w:pPr>
      <w:bookmarkStart w:id="26" w:name="_Ref335838472"/>
      <w:r>
        <w:rPr>
          <w:rFonts w:eastAsia="楷体_GB2312"/>
          <w:b/>
          <w:sz w:val="24"/>
        </w:rPr>
        <w:t>资产的信托</w:t>
      </w:r>
      <w:bookmarkEnd w:id="26"/>
    </w:p>
    <w:p w14:paraId="256AE07C">
      <w:pPr>
        <w:spacing w:line="380" w:lineRule="atLeast"/>
        <w:ind w:left="992"/>
        <w:rPr>
          <w:rFonts w:eastAsia="楷体_GB2312"/>
          <w:b/>
          <w:sz w:val="24"/>
        </w:rPr>
      </w:pPr>
    </w:p>
    <w:p w14:paraId="1032AB39">
      <w:pPr>
        <w:numPr>
          <w:ilvl w:val="2"/>
          <w:numId w:val="4"/>
        </w:numPr>
        <w:tabs>
          <w:tab w:val="left" w:pos="900"/>
        </w:tabs>
        <w:spacing w:line="380" w:lineRule="atLeast"/>
        <w:ind w:left="1620" w:hanging="769"/>
        <w:rPr>
          <w:rFonts w:eastAsia="楷体_GB2312"/>
          <w:sz w:val="24"/>
        </w:rPr>
      </w:pPr>
      <w:bookmarkStart w:id="27" w:name="_Ref336003152"/>
      <w:bookmarkStart w:id="28" w:name="_Ref221138193"/>
      <w:bookmarkStart w:id="29" w:name="_Ref51332576"/>
      <w:r>
        <w:rPr>
          <w:rFonts w:eastAsia="楷体_GB2312"/>
          <w:sz w:val="24"/>
        </w:rPr>
        <w:t>自</w:t>
      </w:r>
      <w:bookmarkEnd w:id="27"/>
      <w:r>
        <w:rPr>
          <w:rFonts w:eastAsia="楷体_GB2312"/>
          <w:sz w:val="24"/>
        </w:rPr>
        <w:t>“信托生效日”起，“委托人”为“受益人”的利益，将自“初始起算日”（含该日）起“委托人”对于</w:t>
      </w:r>
      <w:r>
        <w:rPr>
          <w:rFonts w:eastAsia="楷体_GB2312"/>
          <w:color w:val="000000"/>
          <w:sz w:val="24"/>
        </w:rPr>
        <w:t>以下财产</w:t>
      </w:r>
      <w:r>
        <w:rPr>
          <w:rFonts w:eastAsia="楷体_GB2312"/>
          <w:sz w:val="24"/>
        </w:rPr>
        <w:t>的（现时的和未来的、现实的和或有的）全部权利、权益、利益和收益，包括</w:t>
      </w:r>
      <w:r>
        <w:rPr>
          <w:rFonts w:eastAsia="楷体_GB2312"/>
          <w:color w:val="000000"/>
          <w:w w:val="0"/>
          <w:sz w:val="24"/>
        </w:rPr>
        <w:t>(</w:t>
      </w:r>
      <w:r>
        <w:rPr>
          <w:rFonts w:hint="eastAsia" w:eastAsia="楷体_GB2312"/>
          <w:sz w:val="24"/>
        </w:rPr>
        <w:t>i)</w:t>
      </w:r>
      <w:r>
        <w:rPr>
          <w:rFonts w:eastAsia="楷体_GB2312"/>
          <w:sz w:val="24"/>
        </w:rPr>
        <w:t>以下财产产生的到期或将到期的全部回收款项，</w:t>
      </w:r>
      <w:r>
        <w:rPr>
          <w:rFonts w:eastAsia="楷体_GB2312"/>
          <w:color w:val="000000"/>
          <w:w w:val="0"/>
          <w:sz w:val="24"/>
        </w:rPr>
        <w:t>(</w:t>
      </w:r>
      <w:r>
        <w:rPr>
          <w:rFonts w:hint="eastAsia" w:eastAsia="楷体_GB2312"/>
          <w:sz w:val="24"/>
        </w:rPr>
        <w:t>ii)</w:t>
      </w:r>
      <w:r>
        <w:rPr>
          <w:rFonts w:eastAsia="楷体_GB2312"/>
          <w:sz w:val="24"/>
        </w:rPr>
        <w:t>以下财产被转让、被出售、被拍卖、被变卖或者被以其他方式处置所获得的全部款项，</w:t>
      </w:r>
      <w:r>
        <w:rPr>
          <w:rFonts w:eastAsia="楷体_GB2312"/>
          <w:color w:val="000000"/>
          <w:w w:val="0"/>
          <w:sz w:val="24"/>
        </w:rPr>
        <w:t>(</w:t>
      </w:r>
      <w:r>
        <w:rPr>
          <w:rFonts w:hint="eastAsia" w:eastAsia="楷体_GB2312"/>
          <w:sz w:val="24"/>
        </w:rPr>
        <w:t>iii)</w:t>
      </w:r>
      <w:r>
        <w:rPr>
          <w:rFonts w:eastAsia="楷体_GB2312"/>
          <w:sz w:val="24"/>
        </w:rPr>
        <w:t>请求、起诉、收回、接受与以下财产相关的全部应偿付款项（不论其是否应由“借款人”偿付）的权利，</w:t>
      </w:r>
      <w:r>
        <w:rPr>
          <w:rFonts w:eastAsia="楷体_GB2312"/>
          <w:color w:val="000000"/>
          <w:w w:val="0"/>
          <w:sz w:val="24"/>
        </w:rPr>
        <w:t>(</w:t>
      </w:r>
      <w:r>
        <w:rPr>
          <w:rFonts w:eastAsia="楷体_GB2312"/>
          <w:bCs/>
          <w:color w:val="000000"/>
          <w:sz w:val="24"/>
        </w:rPr>
        <w:t>iv</w:t>
      </w:r>
      <w:r>
        <w:rPr>
          <w:rFonts w:hint="eastAsia" w:eastAsia="楷体_GB2312"/>
          <w:sz w:val="24"/>
        </w:rPr>
        <w:t>)</w:t>
      </w:r>
      <w:r>
        <w:rPr>
          <w:rFonts w:eastAsia="楷体_GB2312"/>
          <w:sz w:val="24"/>
        </w:rPr>
        <w:t>来自与以下财产相关的利益以及对以下财产强制执行的全部权利和法律救济，均信托并移转给“受托人”：</w:t>
      </w:r>
      <w:bookmarkEnd w:id="28"/>
    </w:p>
    <w:p w14:paraId="02DF69B3">
      <w:pPr>
        <w:tabs>
          <w:tab w:val="left" w:pos="425"/>
          <w:tab w:val="left" w:pos="900"/>
          <w:tab w:val="left" w:pos="1571"/>
        </w:tabs>
        <w:spacing w:line="380" w:lineRule="atLeast"/>
        <w:ind w:left="1620"/>
        <w:rPr>
          <w:rFonts w:eastAsia="楷体_GB2312"/>
          <w:sz w:val="24"/>
        </w:rPr>
      </w:pPr>
    </w:p>
    <w:p w14:paraId="4FE6B026">
      <w:pPr>
        <w:pStyle w:val="78"/>
        <w:numPr>
          <w:ilvl w:val="0"/>
          <w:numId w:val="5"/>
        </w:numPr>
        <w:tabs>
          <w:tab w:val="left" w:pos="425"/>
          <w:tab w:val="left" w:pos="900"/>
          <w:tab w:val="left" w:pos="1571"/>
        </w:tabs>
        <w:spacing w:line="380" w:lineRule="atLeast"/>
        <w:ind w:left="2127" w:hanging="426" w:firstLineChars="0"/>
        <w:rPr>
          <w:rFonts w:eastAsia="楷体_GB2312"/>
          <w:color w:val="000000"/>
          <w:sz w:val="24"/>
        </w:rPr>
      </w:pPr>
      <w:r>
        <w:rPr>
          <w:rFonts w:eastAsia="楷体_GB2312"/>
          <w:color w:val="000000"/>
          <w:sz w:val="24"/>
        </w:rPr>
        <w:t>“信贷资产清单”中所列的在“初始起算日”存在的全部“信贷资产”；</w:t>
      </w:r>
    </w:p>
    <w:p w14:paraId="60007D85">
      <w:pPr>
        <w:widowControl/>
        <w:spacing w:line="380" w:lineRule="atLeast"/>
        <w:ind w:left="1832"/>
        <w:rPr>
          <w:rFonts w:eastAsia="楷体_GB2312"/>
          <w:color w:val="000000"/>
          <w:sz w:val="24"/>
        </w:rPr>
      </w:pPr>
    </w:p>
    <w:p w14:paraId="0DDC2E63">
      <w:pPr>
        <w:pStyle w:val="78"/>
        <w:numPr>
          <w:ilvl w:val="0"/>
          <w:numId w:val="5"/>
        </w:numPr>
        <w:tabs>
          <w:tab w:val="left" w:pos="425"/>
          <w:tab w:val="left" w:pos="900"/>
          <w:tab w:val="left" w:pos="1571"/>
        </w:tabs>
        <w:spacing w:line="380" w:lineRule="atLeast"/>
        <w:ind w:left="2127" w:hanging="426" w:firstLineChars="0"/>
        <w:rPr>
          <w:rFonts w:eastAsia="楷体_GB2312"/>
          <w:color w:val="000000"/>
          <w:sz w:val="24"/>
        </w:rPr>
      </w:pPr>
      <w:r>
        <w:rPr>
          <w:rFonts w:eastAsia="楷体_GB2312"/>
          <w:color w:val="000000"/>
          <w:sz w:val="24"/>
        </w:rPr>
        <w:t>担保上述“贷款”的全部“附属权益”。</w:t>
      </w:r>
      <w:bookmarkEnd w:id="29"/>
    </w:p>
    <w:p w14:paraId="52EC41FD">
      <w:pPr>
        <w:tabs>
          <w:tab w:val="left" w:pos="1571"/>
        </w:tabs>
        <w:spacing w:line="380" w:lineRule="atLeast"/>
        <w:ind w:left="1620"/>
        <w:rPr>
          <w:rFonts w:eastAsia="楷体_GB2312"/>
          <w:sz w:val="24"/>
        </w:rPr>
      </w:pPr>
    </w:p>
    <w:p w14:paraId="4CAC5F53">
      <w:pPr>
        <w:spacing w:line="380" w:lineRule="atLeast"/>
        <w:ind w:left="1620"/>
        <w:rPr>
          <w:rFonts w:eastAsia="楷体_GB2312"/>
          <w:color w:val="000000"/>
          <w:sz w:val="24"/>
        </w:rPr>
      </w:pPr>
      <w:r>
        <w:rPr>
          <w:rFonts w:eastAsia="楷体_GB2312"/>
          <w:color w:val="000000"/>
          <w:sz w:val="24"/>
        </w:rPr>
        <w:t>“受托人”接受“信托”，并同意根据本合同的约定以及“中国法律”的规定履行其职责和义务。</w:t>
      </w:r>
    </w:p>
    <w:p w14:paraId="0BD1D9E2">
      <w:pPr>
        <w:spacing w:line="380" w:lineRule="atLeast"/>
        <w:ind w:left="1620"/>
        <w:rPr>
          <w:rFonts w:eastAsia="楷体_GB2312"/>
          <w:color w:val="000000"/>
          <w:sz w:val="24"/>
        </w:rPr>
      </w:pPr>
    </w:p>
    <w:p w14:paraId="0CA067B4">
      <w:pPr>
        <w:tabs>
          <w:tab w:val="left" w:pos="425"/>
          <w:tab w:val="left" w:pos="900"/>
          <w:tab w:val="left" w:pos="1571"/>
        </w:tabs>
        <w:spacing w:line="380" w:lineRule="atLeast"/>
        <w:ind w:left="1620"/>
        <w:rPr>
          <w:rFonts w:eastAsia="楷体_GB2312"/>
          <w:b/>
          <w:i/>
          <w:iCs/>
          <w:snapToGrid w:val="0"/>
          <w:color w:val="FF0000"/>
          <w:kern w:val="28"/>
          <w:sz w:val="24"/>
        </w:rPr>
      </w:pPr>
      <w:r>
        <w:rPr>
          <w:rFonts w:eastAsia="楷体_GB2312"/>
          <w:b/>
          <w:i/>
          <w:iCs/>
          <w:snapToGrid w:val="0"/>
          <w:color w:val="FF0000"/>
          <w:kern w:val="28"/>
          <w:sz w:val="24"/>
        </w:rPr>
        <w:t>【注：1、初始起算日（含该日）是否含该日可根据项目实际情况进行调整。2、初始起算日至信托财产交付日期间收到的相关利息等款项是否入池可根据项目实际情况进行调整。3、初始起算日前（不含该日）发起机构已计提但尚未收到的利息、罚息（如有）、复利（如有）、违约金（如有）等是否入池可根据项目实际情况进行调整。】</w:t>
      </w:r>
    </w:p>
    <w:p w14:paraId="00B72B80">
      <w:pPr>
        <w:tabs>
          <w:tab w:val="left" w:pos="425"/>
          <w:tab w:val="left" w:pos="900"/>
          <w:tab w:val="left" w:pos="1571"/>
        </w:tabs>
        <w:spacing w:line="380" w:lineRule="atLeast"/>
        <w:ind w:left="1620"/>
        <w:rPr>
          <w:rFonts w:eastAsia="楷体_GB2312"/>
          <w:b/>
          <w:i/>
          <w:iCs/>
          <w:snapToGrid w:val="0"/>
          <w:color w:val="FF0000"/>
          <w:kern w:val="28"/>
          <w:sz w:val="24"/>
        </w:rPr>
      </w:pPr>
    </w:p>
    <w:p w14:paraId="0E0C8F71">
      <w:pPr>
        <w:numPr>
          <w:ilvl w:val="2"/>
          <w:numId w:val="4"/>
        </w:numPr>
        <w:tabs>
          <w:tab w:val="left" w:pos="900"/>
        </w:tabs>
        <w:spacing w:line="380" w:lineRule="atLeast"/>
        <w:ind w:left="1620" w:hanging="769"/>
        <w:rPr>
          <w:rFonts w:eastAsia="楷体_GB2312"/>
          <w:sz w:val="24"/>
        </w:rPr>
      </w:pPr>
      <w:bookmarkStart w:id="30" w:name="_Ref51333053"/>
      <w:r>
        <w:rPr>
          <w:rFonts w:eastAsia="楷体_GB2312"/>
          <w:sz w:val="24"/>
        </w:rPr>
        <w:t>在本合同第</w:t>
      </w:r>
      <w:r>
        <w:rPr>
          <w:rFonts w:eastAsia="楷体_GB2312"/>
          <w:sz w:val="24"/>
        </w:rPr>
        <w:fldChar w:fldCharType="begin"/>
      </w:r>
      <w:r>
        <w:rPr>
          <w:rFonts w:eastAsia="楷体_GB2312"/>
          <w:sz w:val="24"/>
        </w:rPr>
        <w:instrText xml:space="preserve"> REF _Ref221138193 \r \h </w:instrText>
      </w:r>
      <w:r>
        <w:rPr>
          <w:rFonts w:eastAsia="楷体_GB2312"/>
          <w:sz w:val="24"/>
        </w:rPr>
        <w:fldChar w:fldCharType="separate"/>
      </w:r>
      <w:r>
        <w:rPr>
          <w:rFonts w:eastAsia="楷体_GB2312"/>
          <w:sz w:val="24"/>
        </w:rPr>
        <w:t>3.6.1</w:t>
      </w:r>
      <w:r>
        <w:rPr>
          <w:rFonts w:eastAsia="楷体_GB2312"/>
          <w:sz w:val="24"/>
        </w:rPr>
        <w:fldChar w:fldCharType="end"/>
      </w:r>
      <w:r>
        <w:rPr>
          <w:rFonts w:eastAsia="楷体_GB2312"/>
          <w:sz w:val="24"/>
        </w:rPr>
        <w:t>款的基础上，自“信托财产交付日”起，“委托人”应向“受托人”转让其对于“账户记录”的（现时的和未来的、实际的和或有的）如下相关权益：“信贷资产”专属的全部“账户记录”原件属于“受托人”所有；“信贷资产”与“《借款合同》”或“《担保合同》”（如有）项下的其他债权共用的“账户记录”原件由“委托人”所有，但“委托人”应妥善保管该等“账户记录”，在“受托人”所持“信贷资产”回收完毕之前不得随意处分该等“账户记录”，且“受托人”享有对该部分“账户记录”的使用权，有权为行使或主张“信贷资产”相关权利、权益的目的而查阅、使用、复制该等“账户记录”原件，“委托人”应提供一切必要之协助。</w:t>
      </w:r>
      <w:bookmarkEnd w:id="30"/>
    </w:p>
    <w:p w14:paraId="12E78F89">
      <w:pPr>
        <w:tabs>
          <w:tab w:val="left" w:pos="425"/>
          <w:tab w:val="left" w:pos="900"/>
          <w:tab w:val="left" w:pos="1571"/>
        </w:tabs>
        <w:spacing w:line="380" w:lineRule="atLeast"/>
        <w:ind w:left="1620"/>
        <w:rPr>
          <w:rFonts w:eastAsia="楷体_GB2312"/>
          <w:sz w:val="24"/>
        </w:rPr>
      </w:pPr>
    </w:p>
    <w:p w14:paraId="587A4390">
      <w:pPr>
        <w:numPr>
          <w:ilvl w:val="2"/>
          <w:numId w:val="4"/>
        </w:numPr>
        <w:tabs>
          <w:tab w:val="left" w:pos="900"/>
        </w:tabs>
        <w:spacing w:line="380" w:lineRule="atLeast"/>
        <w:ind w:left="1620" w:hanging="769"/>
        <w:rPr>
          <w:rFonts w:eastAsia="楷体_GB2312"/>
          <w:sz w:val="24"/>
        </w:rPr>
      </w:pPr>
      <w:r>
        <w:rPr>
          <w:rFonts w:eastAsia="楷体_GB2312"/>
          <w:sz w:val="24"/>
        </w:rPr>
        <w:t>自“信托生效日”起，“受托人”取得“信贷资产”，“信贷资产”即成为“信托财产”，“委托人”除根据本合同第</w:t>
      </w:r>
      <w:r>
        <w:rPr>
          <w:rFonts w:eastAsia="楷体_GB2312"/>
        </w:rPr>
        <w:fldChar w:fldCharType="begin"/>
      </w:r>
      <w:r>
        <w:rPr>
          <w:rFonts w:eastAsia="楷体_GB2312"/>
        </w:rPr>
        <w:instrText xml:space="preserve"> REF _Ref373951204 \r \h  \* MERGEFORMAT </w:instrText>
      </w:r>
      <w:r>
        <w:rPr>
          <w:rFonts w:eastAsia="楷体_GB2312"/>
        </w:rPr>
        <w:fldChar w:fldCharType="separate"/>
      </w:r>
      <w:r>
        <w:rPr>
          <w:rFonts w:eastAsia="楷体_GB2312"/>
          <w:sz w:val="24"/>
        </w:rPr>
        <w:t>12</w:t>
      </w:r>
      <w:r>
        <w:rPr>
          <w:rFonts w:eastAsia="楷体_GB2312"/>
        </w:rPr>
        <w:fldChar w:fldCharType="end"/>
      </w:r>
      <w:r>
        <w:rPr>
          <w:rFonts w:eastAsia="楷体_GB2312"/>
          <w:sz w:val="24"/>
        </w:rPr>
        <w:t>条“赎回”“不合格信贷资产”、根据本合同第</w:t>
      </w:r>
      <w:r>
        <w:rPr>
          <w:rFonts w:eastAsia="楷体_GB2312"/>
        </w:rPr>
        <w:fldChar w:fldCharType="begin"/>
      </w:r>
      <w:r>
        <w:rPr>
          <w:rFonts w:eastAsia="楷体_GB2312"/>
        </w:rPr>
        <w:instrText xml:space="preserve"> REF _Ref495790830 \r \h  \* MERGEFORMAT </w:instrText>
      </w:r>
      <w:r>
        <w:rPr>
          <w:rFonts w:eastAsia="楷体_GB2312"/>
        </w:rPr>
        <w:fldChar w:fldCharType="separate"/>
      </w:r>
      <w:r>
        <w:rPr>
          <w:rFonts w:eastAsia="楷体_GB2312"/>
          <w:sz w:val="24"/>
        </w:rPr>
        <w:t>14</w:t>
      </w:r>
      <w:r>
        <w:rPr>
          <w:rFonts w:eastAsia="楷体_GB2312"/>
        </w:rPr>
        <w:fldChar w:fldCharType="end"/>
      </w:r>
      <w:r>
        <w:rPr>
          <w:rFonts w:eastAsia="楷体_GB2312"/>
          <w:sz w:val="24"/>
        </w:rPr>
        <w:t>条进行“清仓回购”外，对该等“信贷资产”不再享有任何权利也不再承担任何风险。</w:t>
      </w:r>
    </w:p>
    <w:p w14:paraId="657EC3C3">
      <w:pPr>
        <w:pStyle w:val="9"/>
        <w:spacing w:after="0" w:line="380" w:lineRule="atLeast"/>
        <w:ind w:left="0" w:leftChars="0"/>
        <w:rPr>
          <w:rFonts w:eastAsia="楷体_GB2312"/>
        </w:rPr>
      </w:pPr>
    </w:p>
    <w:p w14:paraId="4B290D45">
      <w:pPr>
        <w:numPr>
          <w:ilvl w:val="1"/>
          <w:numId w:val="4"/>
        </w:numPr>
        <w:tabs>
          <w:tab w:val="left" w:pos="900"/>
        </w:tabs>
        <w:spacing w:line="380" w:lineRule="atLeast"/>
        <w:outlineLvl w:val="1"/>
        <w:rPr>
          <w:rFonts w:eastAsia="楷体_GB2312"/>
          <w:b/>
          <w:sz w:val="24"/>
        </w:rPr>
      </w:pPr>
      <w:bookmarkStart w:id="31" w:name="_Toc110153417"/>
      <w:bookmarkEnd w:id="31"/>
      <w:bookmarkStart w:id="32" w:name="_Toc110153418"/>
      <w:bookmarkEnd w:id="32"/>
      <w:bookmarkStart w:id="33" w:name="_Toc110370632"/>
      <w:bookmarkEnd w:id="33"/>
      <w:bookmarkStart w:id="34" w:name="_Toc110370835"/>
      <w:bookmarkEnd w:id="34"/>
      <w:bookmarkStart w:id="35" w:name="_Toc110370633"/>
      <w:bookmarkEnd w:id="35"/>
      <w:bookmarkStart w:id="36" w:name="_Toc110370834"/>
      <w:bookmarkEnd w:id="36"/>
      <w:bookmarkStart w:id="37" w:name="_Toc110153419"/>
      <w:bookmarkStart w:id="38" w:name="_Toc92612907"/>
      <w:bookmarkStart w:id="39" w:name="_Ref110336882"/>
      <w:bookmarkStart w:id="40" w:name="_Ref110337144"/>
      <w:bookmarkStart w:id="41" w:name="_Toc111281769"/>
      <w:bookmarkStart w:id="42" w:name="_Ref110334703"/>
      <w:bookmarkStart w:id="43" w:name="_Ref111021949"/>
      <w:bookmarkStart w:id="44" w:name="_Ref110392648"/>
      <w:bookmarkStart w:id="45" w:name="_Ref148383501"/>
      <w:r>
        <w:rPr>
          <w:rFonts w:eastAsia="楷体_GB2312"/>
          <w:b/>
          <w:sz w:val="24"/>
        </w:rPr>
        <w:t>信托财产</w:t>
      </w:r>
      <w:bookmarkEnd w:id="37"/>
      <w:bookmarkEnd w:id="38"/>
      <w:bookmarkEnd w:id="39"/>
      <w:bookmarkEnd w:id="40"/>
      <w:bookmarkEnd w:id="41"/>
      <w:bookmarkEnd w:id="42"/>
      <w:bookmarkEnd w:id="43"/>
      <w:bookmarkEnd w:id="44"/>
      <w:bookmarkEnd w:id="45"/>
    </w:p>
    <w:p w14:paraId="00EEEC75">
      <w:pPr>
        <w:spacing w:line="380" w:lineRule="atLeast"/>
        <w:rPr>
          <w:rFonts w:eastAsia="楷体_GB2312"/>
          <w:sz w:val="24"/>
        </w:rPr>
      </w:pPr>
    </w:p>
    <w:p w14:paraId="68F1F68E">
      <w:pPr>
        <w:numPr>
          <w:ilvl w:val="2"/>
          <w:numId w:val="4"/>
        </w:numPr>
        <w:tabs>
          <w:tab w:val="left" w:pos="900"/>
        </w:tabs>
        <w:spacing w:line="380" w:lineRule="atLeast"/>
        <w:ind w:left="1620" w:hanging="769"/>
        <w:rPr>
          <w:rFonts w:eastAsia="楷体_GB2312"/>
          <w:b/>
          <w:sz w:val="24"/>
        </w:rPr>
      </w:pPr>
      <w:r>
        <w:rPr>
          <w:rFonts w:eastAsia="楷体_GB2312"/>
          <w:b/>
          <w:sz w:val="24"/>
        </w:rPr>
        <w:t>信托财产的范围</w:t>
      </w:r>
    </w:p>
    <w:p w14:paraId="258C8C51">
      <w:pPr>
        <w:tabs>
          <w:tab w:val="left" w:pos="900"/>
        </w:tabs>
        <w:spacing w:line="380" w:lineRule="atLeast"/>
        <w:rPr>
          <w:rFonts w:eastAsia="楷体_GB2312"/>
          <w:b/>
          <w:sz w:val="24"/>
        </w:rPr>
      </w:pPr>
    </w:p>
    <w:p w14:paraId="1BEFBF7E">
      <w:pPr>
        <w:spacing w:line="380" w:lineRule="atLeast"/>
        <w:ind w:left="1620"/>
        <w:rPr>
          <w:rFonts w:eastAsia="楷体_GB2312"/>
          <w:sz w:val="24"/>
        </w:rPr>
      </w:pPr>
      <w:r>
        <w:rPr>
          <w:rFonts w:eastAsia="楷体_GB2312"/>
          <w:sz w:val="24"/>
        </w:rPr>
        <w:t>“信托”的“信托财产”的范围包括：</w:t>
      </w:r>
    </w:p>
    <w:p w14:paraId="579203DD">
      <w:pPr>
        <w:spacing w:line="380" w:lineRule="atLeast"/>
        <w:ind w:firstLine="1687" w:firstLineChars="700"/>
        <w:rPr>
          <w:rFonts w:eastAsia="楷体_GB2312"/>
          <w:b/>
          <w:sz w:val="24"/>
        </w:rPr>
      </w:pPr>
    </w:p>
    <w:p w14:paraId="17AB0CE1">
      <w:pPr>
        <w:pStyle w:val="78"/>
        <w:numPr>
          <w:ilvl w:val="0"/>
          <w:numId w:val="6"/>
        </w:numPr>
        <w:tabs>
          <w:tab w:val="left" w:pos="425"/>
          <w:tab w:val="left" w:pos="900"/>
          <w:tab w:val="left" w:pos="1571"/>
        </w:tabs>
        <w:spacing w:line="380" w:lineRule="atLeast"/>
        <w:ind w:left="2127" w:hanging="426" w:firstLineChars="0"/>
        <w:rPr>
          <w:rFonts w:eastAsia="楷体_GB2312"/>
          <w:w w:val="0"/>
          <w:sz w:val="24"/>
        </w:rPr>
      </w:pPr>
      <w:bookmarkStart w:id="46" w:name="_DV_C215"/>
      <w:r>
        <w:rPr>
          <w:rStyle w:val="63"/>
          <w:rFonts w:eastAsia="楷体_GB2312"/>
          <w:color w:val="auto"/>
          <w:w w:val="0"/>
          <w:sz w:val="24"/>
          <w:u w:val="none"/>
        </w:rPr>
        <w:t>“信贷资产清单”（格式见本合同</w:t>
      </w:r>
      <w:r>
        <w:rPr>
          <w:rStyle w:val="63"/>
          <w:rFonts w:eastAsia="楷体_GB2312"/>
          <w:i/>
          <w:iCs/>
          <w:color w:val="auto"/>
          <w:w w:val="0"/>
          <w:sz w:val="24"/>
          <w:u w:val="none"/>
        </w:rPr>
        <w:t>【</w:t>
      </w:r>
      <w:r>
        <w:rPr>
          <w:rStyle w:val="63"/>
          <w:rFonts w:eastAsia="楷体_GB2312"/>
          <w:b/>
          <w:i/>
          <w:color w:val="auto"/>
          <w:w w:val="0"/>
          <w:sz w:val="24"/>
          <w:u w:val="none"/>
        </w:rPr>
        <w:t>附件一</w:t>
      </w:r>
      <w:r>
        <w:rPr>
          <w:rFonts w:eastAsia="楷体_GB2312"/>
          <w:b/>
          <w:i/>
          <w:w w:val="0"/>
          <w:sz w:val="24"/>
        </w:rPr>
        <w:t>】</w:t>
      </w:r>
      <w:r>
        <w:rPr>
          <w:rStyle w:val="63"/>
          <w:rFonts w:eastAsia="楷体_GB2312"/>
          <w:color w:val="auto"/>
          <w:w w:val="0"/>
          <w:sz w:val="24"/>
          <w:u w:val="none"/>
        </w:rPr>
        <w:t>）中所列的在“初始起算日”存在的全部“信贷资产”；</w:t>
      </w:r>
      <w:bookmarkEnd w:id="46"/>
    </w:p>
    <w:p w14:paraId="1819D42E">
      <w:pPr>
        <w:spacing w:line="380" w:lineRule="atLeast"/>
        <w:jc w:val="left"/>
        <w:rPr>
          <w:rFonts w:eastAsia="楷体_GB2312"/>
          <w:w w:val="0"/>
        </w:rPr>
      </w:pPr>
    </w:p>
    <w:p w14:paraId="31EDA448">
      <w:pPr>
        <w:pStyle w:val="78"/>
        <w:numPr>
          <w:ilvl w:val="0"/>
          <w:numId w:val="6"/>
        </w:numPr>
        <w:tabs>
          <w:tab w:val="left" w:pos="425"/>
          <w:tab w:val="left" w:pos="900"/>
          <w:tab w:val="left" w:pos="1571"/>
        </w:tabs>
        <w:spacing w:line="380" w:lineRule="atLeast"/>
        <w:ind w:left="2127" w:hanging="426" w:firstLineChars="0"/>
        <w:rPr>
          <w:rFonts w:eastAsia="楷体_GB2312"/>
          <w:b/>
          <w:i/>
          <w:iCs/>
          <w:snapToGrid w:val="0"/>
          <w:color w:val="FF0000"/>
          <w:kern w:val="28"/>
          <w:sz w:val="24"/>
        </w:rPr>
      </w:pPr>
      <w:bookmarkStart w:id="47" w:name="_DV_C218"/>
      <w:r>
        <w:rPr>
          <w:rStyle w:val="63"/>
          <w:rFonts w:eastAsia="楷体_GB2312"/>
          <w:color w:val="auto"/>
          <w:w w:val="0"/>
          <w:sz w:val="24"/>
          <w:u w:val="none"/>
        </w:rPr>
        <w:t>“委托人”自“初始起算日”（含该日）至“信托生效日”（不含该日）收到的所有“信贷资产”产生的“回收款”；</w:t>
      </w:r>
      <w:bookmarkEnd w:id="47"/>
    </w:p>
    <w:p w14:paraId="04C42125">
      <w:pPr>
        <w:tabs>
          <w:tab w:val="left" w:pos="425"/>
          <w:tab w:val="left" w:pos="900"/>
          <w:tab w:val="left" w:pos="1571"/>
        </w:tabs>
        <w:spacing w:line="380" w:lineRule="atLeast"/>
        <w:ind w:left="1620"/>
        <w:rPr>
          <w:rFonts w:eastAsia="楷体_GB2312"/>
          <w:b/>
          <w:i/>
          <w:iCs/>
          <w:snapToGrid w:val="0"/>
          <w:color w:val="FF0000"/>
          <w:kern w:val="28"/>
          <w:sz w:val="24"/>
        </w:rPr>
      </w:pPr>
      <w:r>
        <w:rPr>
          <w:rFonts w:eastAsia="楷体_GB2312"/>
          <w:b/>
          <w:i/>
          <w:iCs/>
          <w:snapToGrid w:val="0"/>
          <w:color w:val="FF0000"/>
          <w:kern w:val="28"/>
          <w:sz w:val="24"/>
        </w:rPr>
        <w:t>【注：1、初始起算日（含该日）是否含该日可根据项目实际情况进行调整。2、初始起算日至信托财产交付日期间收到的相关利息等款项是否入池可根据项目实际情况进行调整。3、初始起算日前（不含该日）发起机构已计提但尚未收到的利息、罚息（如有）、复利（如有）、违约金（如有）等是否入池可根据项目实际情况进行调整。】</w:t>
      </w:r>
    </w:p>
    <w:p w14:paraId="73384AC0">
      <w:pPr>
        <w:tabs>
          <w:tab w:val="left" w:pos="900"/>
        </w:tabs>
        <w:spacing w:line="380" w:lineRule="atLeast"/>
        <w:rPr>
          <w:rFonts w:eastAsia="楷体_GB2312"/>
          <w:b/>
          <w:bCs/>
          <w:w w:val="0"/>
          <w:sz w:val="24"/>
        </w:rPr>
      </w:pPr>
    </w:p>
    <w:p w14:paraId="51989E70">
      <w:pPr>
        <w:pStyle w:val="78"/>
        <w:numPr>
          <w:ilvl w:val="0"/>
          <w:numId w:val="6"/>
        </w:numPr>
        <w:tabs>
          <w:tab w:val="left" w:pos="425"/>
          <w:tab w:val="left" w:pos="900"/>
          <w:tab w:val="left" w:pos="1571"/>
        </w:tabs>
        <w:spacing w:line="380" w:lineRule="atLeast"/>
        <w:ind w:left="2127" w:hanging="426" w:firstLineChars="0"/>
        <w:rPr>
          <w:rStyle w:val="63"/>
          <w:rFonts w:eastAsia="楷体_GB2312"/>
          <w:color w:val="000000"/>
          <w:w w:val="0"/>
          <w:sz w:val="24"/>
          <w:u w:val="none"/>
        </w:rPr>
      </w:pPr>
      <w:bookmarkStart w:id="48" w:name="_DV_C231"/>
      <w:r>
        <w:rPr>
          <w:rStyle w:val="63"/>
          <w:rFonts w:eastAsia="楷体_GB2312"/>
          <w:color w:val="auto"/>
          <w:w w:val="0"/>
          <w:sz w:val="24"/>
          <w:u w:val="none"/>
        </w:rPr>
        <w:t>“受托人”因对“信托财产”管理、运用、处分或者其他情形而取得的“信托财产收益”以及所有其他财产（包括但不限于因“不合格信贷资产”被“赎回”所取得相当于“赎回价格”的款项、因“信贷资产”被“清仓回购”所取得相当于“清仓回购价格”的款项）。</w:t>
      </w:r>
      <w:bookmarkEnd w:id="48"/>
    </w:p>
    <w:p w14:paraId="6702FDBC">
      <w:pPr>
        <w:spacing w:line="380" w:lineRule="atLeast"/>
        <w:rPr>
          <w:rFonts w:eastAsia="楷体_GB2312"/>
          <w:sz w:val="24"/>
        </w:rPr>
      </w:pPr>
      <w:bookmarkStart w:id="49" w:name="_DV_M132"/>
      <w:bookmarkEnd w:id="49"/>
      <w:bookmarkStart w:id="50" w:name="_DV_M136"/>
      <w:bookmarkEnd w:id="50"/>
      <w:bookmarkStart w:id="51" w:name="_DV_M133"/>
      <w:bookmarkEnd w:id="51"/>
      <w:bookmarkStart w:id="52" w:name="_DV_M135"/>
      <w:bookmarkEnd w:id="52"/>
      <w:bookmarkStart w:id="53" w:name="_DV_M137"/>
      <w:bookmarkEnd w:id="53"/>
      <w:bookmarkStart w:id="54" w:name="_DV_M134"/>
      <w:bookmarkEnd w:id="54"/>
    </w:p>
    <w:p w14:paraId="78CD0756">
      <w:pPr>
        <w:numPr>
          <w:ilvl w:val="2"/>
          <w:numId w:val="4"/>
        </w:numPr>
        <w:tabs>
          <w:tab w:val="left" w:pos="900"/>
        </w:tabs>
        <w:spacing w:line="380" w:lineRule="atLeast"/>
        <w:ind w:left="1620" w:hanging="769"/>
        <w:rPr>
          <w:rFonts w:eastAsia="楷体_GB2312"/>
          <w:sz w:val="24"/>
        </w:rPr>
      </w:pPr>
      <w:r>
        <w:rPr>
          <w:rFonts w:eastAsia="楷体_GB2312"/>
          <w:b/>
          <w:sz w:val="24"/>
        </w:rPr>
        <w:t>信托财产的种类</w:t>
      </w:r>
    </w:p>
    <w:p w14:paraId="6C9F599D">
      <w:pPr>
        <w:spacing w:line="380" w:lineRule="atLeast"/>
        <w:rPr>
          <w:rFonts w:eastAsia="楷体_GB2312"/>
          <w:b/>
          <w:sz w:val="24"/>
        </w:rPr>
      </w:pPr>
    </w:p>
    <w:p w14:paraId="383DC11D">
      <w:pPr>
        <w:spacing w:line="380" w:lineRule="atLeast"/>
        <w:ind w:left="1620"/>
        <w:rPr>
          <w:rFonts w:eastAsia="楷体_GB2312"/>
          <w:sz w:val="24"/>
        </w:rPr>
      </w:pPr>
      <w:r>
        <w:rPr>
          <w:rFonts w:eastAsia="楷体_GB2312"/>
          <w:sz w:val="24"/>
        </w:rPr>
        <w:t>本“信托”项下的“信托财产”为“【发起机构简称】”合法所有的正常类微小企业贷款或个人经营贷款</w:t>
      </w:r>
      <w:r>
        <w:rPr>
          <w:rFonts w:hint="eastAsia" w:eastAsia="楷体_GB2312"/>
          <w:sz w:val="24"/>
        </w:rPr>
        <w:t>。</w:t>
      </w:r>
    </w:p>
    <w:p w14:paraId="342650B9">
      <w:pPr>
        <w:spacing w:line="380" w:lineRule="atLeast"/>
        <w:rPr>
          <w:rFonts w:eastAsia="楷体_GB2312"/>
          <w:sz w:val="24"/>
        </w:rPr>
      </w:pPr>
    </w:p>
    <w:p w14:paraId="3CF3A538">
      <w:pPr>
        <w:numPr>
          <w:ilvl w:val="2"/>
          <w:numId w:val="4"/>
        </w:numPr>
        <w:tabs>
          <w:tab w:val="left" w:pos="900"/>
        </w:tabs>
        <w:spacing w:line="380" w:lineRule="atLeast"/>
        <w:ind w:left="1620" w:hanging="769"/>
        <w:rPr>
          <w:rFonts w:eastAsia="楷体_GB2312"/>
          <w:sz w:val="24"/>
        </w:rPr>
      </w:pPr>
      <w:bookmarkStart w:id="55" w:name="_Ref148383488"/>
      <w:r>
        <w:rPr>
          <w:rFonts w:eastAsia="楷体_GB2312"/>
          <w:b/>
          <w:sz w:val="24"/>
        </w:rPr>
        <w:t>信贷资产的合格标准</w:t>
      </w:r>
      <w:bookmarkEnd w:id="55"/>
    </w:p>
    <w:p w14:paraId="6A163147">
      <w:pPr>
        <w:spacing w:line="380" w:lineRule="atLeast"/>
        <w:rPr>
          <w:rFonts w:eastAsia="楷体_GB2312"/>
          <w:b/>
          <w:sz w:val="24"/>
        </w:rPr>
      </w:pPr>
    </w:p>
    <w:p w14:paraId="706D6C1F">
      <w:pPr>
        <w:spacing w:line="380" w:lineRule="atLeast"/>
        <w:ind w:left="1620"/>
        <w:rPr>
          <w:rFonts w:eastAsia="楷体_GB2312"/>
          <w:bCs/>
          <w:sz w:val="24"/>
          <w:u w:val="single"/>
        </w:rPr>
      </w:pPr>
      <w:r>
        <w:rPr>
          <w:rFonts w:eastAsia="楷体_GB2312"/>
          <w:sz w:val="24"/>
        </w:rPr>
        <w:t>在“初始起算日”【</w:t>
      </w:r>
      <w:r>
        <w:rPr>
          <w:rFonts w:eastAsia="楷体_GB2312"/>
          <w:bCs/>
          <w:i/>
          <w:iCs/>
          <w:sz w:val="24"/>
        </w:rPr>
        <w:t>具体时点</w:t>
      </w:r>
      <w:r>
        <w:rPr>
          <w:rFonts w:eastAsia="楷体_GB2312"/>
          <w:sz w:val="24"/>
        </w:rPr>
        <w:t>】和“信托财产交付日”，或在“合格标准”具体列明的时间，每一笔“信贷资产”均应符合“合格标准”</w:t>
      </w:r>
      <w:r>
        <w:rPr>
          <w:rFonts w:eastAsia="楷体_GB2312"/>
          <w:bCs/>
          <w:sz w:val="24"/>
        </w:rPr>
        <w:t>。</w:t>
      </w:r>
    </w:p>
    <w:p w14:paraId="30D9E0B7">
      <w:pPr>
        <w:spacing w:line="380" w:lineRule="atLeast"/>
        <w:rPr>
          <w:rFonts w:eastAsia="楷体_GB2312"/>
          <w:b/>
          <w:bCs/>
          <w:sz w:val="24"/>
          <w:u w:val="single"/>
        </w:rPr>
      </w:pPr>
    </w:p>
    <w:p w14:paraId="318EA546">
      <w:pPr>
        <w:numPr>
          <w:ilvl w:val="2"/>
          <w:numId w:val="4"/>
        </w:numPr>
        <w:tabs>
          <w:tab w:val="left" w:pos="900"/>
        </w:tabs>
        <w:spacing w:line="380" w:lineRule="atLeast"/>
        <w:ind w:left="1620" w:hanging="769"/>
        <w:rPr>
          <w:rFonts w:eastAsia="楷体_GB2312"/>
          <w:b/>
          <w:sz w:val="24"/>
        </w:rPr>
      </w:pPr>
      <w:r>
        <w:rPr>
          <w:rFonts w:eastAsia="楷体_GB2312"/>
          <w:b/>
          <w:sz w:val="24"/>
        </w:rPr>
        <w:t>信贷资产的状况</w:t>
      </w:r>
    </w:p>
    <w:p w14:paraId="48672B45">
      <w:pPr>
        <w:spacing w:line="380" w:lineRule="atLeast"/>
        <w:rPr>
          <w:rFonts w:eastAsia="楷体_GB2312"/>
          <w:sz w:val="24"/>
        </w:rPr>
      </w:pPr>
    </w:p>
    <w:p w14:paraId="38F3E2CA">
      <w:pPr>
        <w:spacing w:line="380" w:lineRule="atLeast"/>
        <w:ind w:left="1620"/>
        <w:rPr>
          <w:rFonts w:eastAsia="楷体_GB2312"/>
          <w:sz w:val="24"/>
        </w:rPr>
      </w:pPr>
      <w:bookmarkStart w:id="56" w:name="_Ref111021078"/>
      <w:r>
        <w:rPr>
          <w:rFonts w:eastAsia="楷体_GB2312"/>
          <w:sz w:val="24"/>
        </w:rPr>
        <w:t>截至“初始起算日”【</w:t>
      </w:r>
      <w:r>
        <w:rPr>
          <w:rFonts w:eastAsia="楷体_GB2312"/>
          <w:i/>
          <w:iCs/>
          <w:color w:val="000000" w:themeColor="text1"/>
          <w:sz w:val="24"/>
          <w14:textFill>
            <w14:solidFill>
              <w14:schemeClr w14:val="tx1"/>
            </w14:solidFill>
          </w14:textFill>
        </w:rPr>
        <w:t>具体时点</w:t>
      </w:r>
      <w:r>
        <w:rPr>
          <w:rFonts w:eastAsia="楷体_GB2312"/>
          <w:sz w:val="24"/>
        </w:rPr>
        <w:t>】，每一笔</w:t>
      </w:r>
      <w:r>
        <w:rPr>
          <w:rFonts w:eastAsia="楷体_GB2312"/>
          <w:bCs/>
          <w:sz w:val="24"/>
        </w:rPr>
        <w:t>“信贷资产</w:t>
      </w:r>
      <w:r>
        <w:rPr>
          <w:rFonts w:eastAsia="楷体_GB2312"/>
          <w:sz w:val="24"/>
        </w:rPr>
        <w:t>”的状况详见由“委托机构”按照本合同第</w:t>
      </w:r>
      <w:r>
        <w:rPr>
          <w:rFonts w:eastAsia="楷体_GB2312"/>
          <w:sz w:val="24"/>
        </w:rPr>
        <w:fldChar w:fldCharType="begin"/>
      </w:r>
      <w:r>
        <w:rPr>
          <w:rFonts w:eastAsia="楷体_GB2312"/>
          <w:sz w:val="24"/>
        </w:rPr>
        <w:instrText xml:space="preserve"> REF _Ref51330570 \r \h </w:instrText>
      </w:r>
      <w:r>
        <w:rPr>
          <w:rFonts w:eastAsia="楷体_GB2312"/>
          <w:sz w:val="24"/>
        </w:rPr>
        <w:fldChar w:fldCharType="separate"/>
      </w:r>
      <w:r>
        <w:rPr>
          <w:rFonts w:eastAsia="楷体_GB2312"/>
          <w:sz w:val="24"/>
        </w:rPr>
        <w:t>3.9</w:t>
      </w:r>
      <w:r>
        <w:rPr>
          <w:rFonts w:eastAsia="楷体_GB2312"/>
          <w:sz w:val="24"/>
        </w:rPr>
        <w:fldChar w:fldCharType="end"/>
      </w:r>
      <w:r>
        <w:rPr>
          <w:rFonts w:eastAsia="楷体_GB2312"/>
          <w:sz w:val="24"/>
        </w:rPr>
        <w:t>款的约定于“信托财产交付日”向“受托机构”交付的“信贷资产清单”。</w:t>
      </w:r>
      <w:bookmarkEnd w:id="56"/>
    </w:p>
    <w:p w14:paraId="7F50285C">
      <w:pPr>
        <w:spacing w:line="380" w:lineRule="atLeast"/>
        <w:ind w:left="912" w:leftChars="456"/>
        <w:rPr>
          <w:rFonts w:eastAsia="楷体_GB2312"/>
          <w:sz w:val="24"/>
        </w:rPr>
      </w:pPr>
      <w:bookmarkStart w:id="57" w:name="_Toc148440764"/>
      <w:bookmarkEnd w:id="57"/>
      <w:bookmarkStart w:id="58" w:name="_Toc148384174"/>
      <w:bookmarkEnd w:id="58"/>
      <w:bookmarkStart w:id="59" w:name="_Toc150895682"/>
      <w:bookmarkEnd w:id="59"/>
      <w:bookmarkStart w:id="60" w:name="_Toc148440766"/>
      <w:bookmarkEnd w:id="60"/>
      <w:bookmarkStart w:id="61" w:name="_Toc148384176"/>
      <w:bookmarkEnd w:id="61"/>
      <w:bookmarkStart w:id="62" w:name="_Toc148384178"/>
      <w:bookmarkEnd w:id="62"/>
      <w:bookmarkStart w:id="63" w:name="_Toc148440769"/>
      <w:bookmarkEnd w:id="63"/>
      <w:bookmarkStart w:id="64" w:name="_Toc148440768"/>
      <w:bookmarkEnd w:id="64"/>
      <w:bookmarkStart w:id="65" w:name="_Toc148384179"/>
      <w:bookmarkEnd w:id="65"/>
      <w:bookmarkStart w:id="66" w:name="_Toc92612908"/>
    </w:p>
    <w:p w14:paraId="41294E7A">
      <w:pPr>
        <w:numPr>
          <w:ilvl w:val="1"/>
          <w:numId w:val="4"/>
        </w:numPr>
        <w:tabs>
          <w:tab w:val="left" w:pos="900"/>
        </w:tabs>
        <w:spacing w:line="380" w:lineRule="atLeast"/>
        <w:outlineLvl w:val="1"/>
        <w:rPr>
          <w:rFonts w:eastAsia="楷体_GB2312"/>
          <w:b/>
          <w:sz w:val="24"/>
        </w:rPr>
      </w:pPr>
      <w:bookmarkStart w:id="67" w:name="_Toc111281772"/>
      <w:bookmarkStart w:id="68" w:name="_Ref422926913"/>
      <w:r>
        <w:rPr>
          <w:rFonts w:eastAsia="楷体_GB2312"/>
          <w:b/>
          <w:sz w:val="24"/>
        </w:rPr>
        <w:t>作为信托财产的信贷资产的交付条件</w:t>
      </w:r>
      <w:bookmarkEnd w:id="67"/>
      <w:bookmarkEnd w:id="68"/>
    </w:p>
    <w:p w14:paraId="68B47E4D">
      <w:pPr>
        <w:tabs>
          <w:tab w:val="left" w:pos="900"/>
        </w:tabs>
        <w:spacing w:line="380" w:lineRule="atLeast"/>
        <w:rPr>
          <w:rFonts w:eastAsia="楷体_GB2312"/>
          <w:b/>
          <w:sz w:val="24"/>
        </w:rPr>
      </w:pPr>
    </w:p>
    <w:p w14:paraId="6F5E43F6">
      <w:pPr>
        <w:spacing w:line="380" w:lineRule="atLeast"/>
        <w:ind w:left="912" w:leftChars="456"/>
        <w:rPr>
          <w:rFonts w:eastAsia="楷体_GB2312"/>
          <w:sz w:val="24"/>
        </w:rPr>
      </w:pPr>
      <w:r>
        <w:rPr>
          <w:rFonts w:eastAsia="楷体_GB2312"/>
          <w:sz w:val="24"/>
        </w:rPr>
        <w:t>在满足下列条件的情况下，“委托人”于“信托财产交付日”向“受托人”交付作为“信托财产”的“信贷资产”：</w:t>
      </w:r>
    </w:p>
    <w:p w14:paraId="0E62151A">
      <w:pPr>
        <w:tabs>
          <w:tab w:val="left" w:pos="900"/>
        </w:tabs>
        <w:spacing w:line="380" w:lineRule="atLeast"/>
        <w:ind w:left="1028" w:leftChars="514" w:firstLine="1"/>
        <w:rPr>
          <w:rFonts w:eastAsia="楷体_GB2312"/>
          <w:sz w:val="24"/>
        </w:rPr>
      </w:pPr>
    </w:p>
    <w:p w14:paraId="63D04D1A">
      <w:pPr>
        <w:numPr>
          <w:ilvl w:val="2"/>
          <w:numId w:val="4"/>
        </w:numPr>
        <w:tabs>
          <w:tab w:val="left" w:pos="900"/>
        </w:tabs>
        <w:spacing w:line="380" w:lineRule="atLeast"/>
        <w:ind w:left="1620" w:hanging="769"/>
        <w:rPr>
          <w:rFonts w:eastAsia="楷体_GB2312"/>
          <w:sz w:val="24"/>
        </w:rPr>
      </w:pPr>
      <w:r>
        <w:rPr>
          <w:rFonts w:eastAsia="楷体_GB2312"/>
          <w:sz w:val="24"/>
        </w:rPr>
        <w:t>“交易文件”的相关各方已向“受托人”和相应“交易文件”的其他各方交付了经其妥为签署的“交易文件”正本；</w:t>
      </w:r>
    </w:p>
    <w:p w14:paraId="492AC34C">
      <w:pPr>
        <w:tabs>
          <w:tab w:val="left" w:pos="1571"/>
        </w:tabs>
        <w:spacing w:line="380" w:lineRule="atLeast"/>
        <w:ind w:left="851"/>
        <w:rPr>
          <w:rFonts w:eastAsia="楷体_GB2312"/>
          <w:sz w:val="24"/>
        </w:rPr>
      </w:pPr>
    </w:p>
    <w:p w14:paraId="0893272F">
      <w:pPr>
        <w:numPr>
          <w:ilvl w:val="2"/>
          <w:numId w:val="4"/>
        </w:numPr>
        <w:tabs>
          <w:tab w:val="left" w:pos="900"/>
        </w:tabs>
        <w:spacing w:line="380" w:lineRule="atLeast"/>
        <w:ind w:left="1620" w:hanging="769"/>
        <w:rPr>
          <w:rFonts w:eastAsia="楷体_GB2312"/>
          <w:sz w:val="24"/>
        </w:rPr>
      </w:pPr>
      <w:r>
        <w:rPr>
          <w:rFonts w:eastAsia="楷体_GB2312"/>
          <w:sz w:val="24"/>
        </w:rPr>
        <w:t>“委托人”和“受托人”已在“银登中心”办理完毕【信托名称】产品的信息初始登记；</w:t>
      </w:r>
    </w:p>
    <w:p w14:paraId="1052F11F">
      <w:pPr>
        <w:tabs>
          <w:tab w:val="left" w:pos="1571"/>
        </w:tabs>
        <w:spacing w:line="380" w:lineRule="atLeast"/>
        <w:ind w:left="851"/>
        <w:rPr>
          <w:rFonts w:eastAsia="楷体_GB2312"/>
        </w:rPr>
      </w:pPr>
    </w:p>
    <w:p w14:paraId="58F8EAD5">
      <w:pPr>
        <w:numPr>
          <w:ilvl w:val="2"/>
          <w:numId w:val="4"/>
        </w:numPr>
        <w:tabs>
          <w:tab w:val="left" w:pos="900"/>
        </w:tabs>
        <w:spacing w:line="380" w:lineRule="atLeast"/>
        <w:ind w:left="1620" w:hanging="769"/>
        <w:rPr>
          <w:rFonts w:eastAsia="楷体_GB2312"/>
          <w:sz w:val="24"/>
        </w:rPr>
      </w:pPr>
      <w:r>
        <w:rPr>
          <w:rFonts w:eastAsia="楷体_GB2312"/>
          <w:sz w:val="24"/>
        </w:rPr>
        <w:t>“委托人”和“受托人”已获得“人民银行”关于在全国银行间债券市场注册发行【证券名称】的行政许可</w:t>
      </w:r>
      <w:r>
        <w:rPr>
          <w:rFonts w:hint="eastAsia" w:eastAsia="楷体_GB2312"/>
          <w:sz w:val="24"/>
        </w:rPr>
        <w:t>，</w:t>
      </w:r>
      <w:r>
        <w:rPr>
          <w:rFonts w:eastAsia="楷体_GB2312"/>
          <w:sz w:val="24"/>
        </w:rPr>
        <w:t>且“委托人”和“受托人”已按照“人民银行”的规定履行完毕发行本期“资产支持证券”的备案等相关手续；</w:t>
      </w:r>
    </w:p>
    <w:p w14:paraId="6055CC89">
      <w:pPr>
        <w:pStyle w:val="78"/>
        <w:ind w:firstLine="480"/>
        <w:rPr>
          <w:rFonts w:eastAsia="楷体_GB2312"/>
          <w:sz w:val="24"/>
        </w:rPr>
      </w:pPr>
    </w:p>
    <w:p w14:paraId="569497D5">
      <w:pPr>
        <w:numPr>
          <w:ilvl w:val="2"/>
          <w:numId w:val="4"/>
        </w:numPr>
        <w:tabs>
          <w:tab w:val="left" w:pos="900"/>
        </w:tabs>
        <w:spacing w:line="380" w:lineRule="atLeast"/>
        <w:ind w:left="1620" w:hanging="769"/>
        <w:rPr>
          <w:rFonts w:eastAsia="楷体_GB2312"/>
          <w:sz w:val="24"/>
        </w:rPr>
      </w:pPr>
      <w:r>
        <w:rPr>
          <w:rFonts w:eastAsia="楷体_GB2312"/>
          <w:sz w:val="24"/>
        </w:rPr>
        <w:t>“资产支持证券”“发行成功”；</w:t>
      </w:r>
    </w:p>
    <w:p w14:paraId="1D91AE15">
      <w:pPr>
        <w:tabs>
          <w:tab w:val="left" w:pos="1571"/>
        </w:tabs>
        <w:spacing w:line="380" w:lineRule="atLeast"/>
        <w:ind w:left="851"/>
        <w:rPr>
          <w:rFonts w:eastAsia="楷体_GB2312"/>
          <w:sz w:val="24"/>
        </w:rPr>
      </w:pPr>
    </w:p>
    <w:p w14:paraId="78D01E16">
      <w:pPr>
        <w:numPr>
          <w:ilvl w:val="2"/>
          <w:numId w:val="4"/>
        </w:numPr>
        <w:ind w:left="1560" w:hanging="709"/>
        <w:rPr>
          <w:rFonts w:eastAsia="楷体_GB2312"/>
          <w:sz w:val="24"/>
        </w:rPr>
      </w:pPr>
      <w:r>
        <w:rPr>
          <w:rFonts w:eastAsia="楷体_GB2312"/>
          <w:sz w:val="24"/>
        </w:rPr>
        <w:t>“会计顾问/税务顾问”已就“信贷资产”出具了</w:t>
      </w:r>
      <w:r>
        <w:rPr>
          <w:rFonts w:eastAsia="楷体_GB2312"/>
          <w:color w:val="000000"/>
          <w:sz w:val="24"/>
        </w:rPr>
        <w:t>执行商定程序的报告、会计处理意见和税务意见</w:t>
      </w:r>
      <w:r>
        <w:rPr>
          <w:rFonts w:eastAsia="楷体_GB2312"/>
          <w:sz w:val="24"/>
        </w:rPr>
        <w:t>；</w:t>
      </w:r>
    </w:p>
    <w:p w14:paraId="631F369D">
      <w:pPr>
        <w:pStyle w:val="71"/>
        <w:ind w:firstLine="480"/>
        <w:rPr>
          <w:rFonts w:eastAsia="楷体_GB2312"/>
          <w:sz w:val="24"/>
        </w:rPr>
      </w:pPr>
    </w:p>
    <w:p w14:paraId="3F7F125B">
      <w:pPr>
        <w:numPr>
          <w:ilvl w:val="2"/>
          <w:numId w:val="4"/>
        </w:numPr>
        <w:tabs>
          <w:tab w:val="left" w:pos="900"/>
        </w:tabs>
        <w:spacing w:line="380" w:lineRule="atLeast"/>
        <w:ind w:left="1620" w:hanging="769"/>
        <w:rPr>
          <w:rFonts w:eastAsia="楷体_GB2312"/>
          <w:sz w:val="24"/>
        </w:rPr>
      </w:pPr>
      <w:r>
        <w:rPr>
          <w:rFonts w:eastAsia="楷体_GB2312"/>
          <w:sz w:val="24"/>
        </w:rPr>
        <w:t>“法律顾问”已出具法律意见书</w:t>
      </w:r>
      <w:r>
        <w:rPr>
          <w:rFonts w:eastAsia="楷体_GB2312"/>
          <w:color w:val="000000"/>
          <w:sz w:val="24"/>
        </w:rPr>
        <w:t>和尽职调查报告；</w:t>
      </w:r>
    </w:p>
    <w:p w14:paraId="08F0076D">
      <w:pPr>
        <w:pStyle w:val="78"/>
        <w:ind w:firstLine="480"/>
        <w:rPr>
          <w:rFonts w:eastAsia="楷体_GB2312"/>
          <w:sz w:val="24"/>
        </w:rPr>
      </w:pPr>
    </w:p>
    <w:p w14:paraId="7B599651">
      <w:pPr>
        <w:numPr>
          <w:ilvl w:val="2"/>
          <w:numId w:val="4"/>
        </w:numPr>
        <w:tabs>
          <w:tab w:val="left" w:pos="900"/>
        </w:tabs>
        <w:spacing w:line="380" w:lineRule="atLeast"/>
        <w:ind w:left="1620" w:hanging="769"/>
        <w:rPr>
          <w:rFonts w:eastAsia="楷体_GB2312"/>
          <w:b/>
          <w:bCs/>
          <w:i/>
          <w:iCs/>
          <w:sz w:val="24"/>
        </w:rPr>
      </w:pPr>
      <w:r>
        <w:rPr>
          <w:rFonts w:eastAsia="楷体_GB2312"/>
          <w:b/>
          <w:bCs/>
          <w:i/>
          <w:iCs/>
          <w:color w:val="FF0000"/>
          <w:sz w:val="24"/>
        </w:rPr>
        <w:t>【仅适用于资产涉及评估的情形】</w:t>
      </w:r>
      <w:r>
        <w:rPr>
          <w:rFonts w:eastAsia="楷体_GB2312"/>
          <w:sz w:val="24"/>
        </w:rPr>
        <w:t>“评估机构”已向“委托人”和“受托人”出具评估报告或价值分析报告</w:t>
      </w:r>
      <w:r>
        <w:rPr>
          <w:rFonts w:eastAsia="楷体_GB2312"/>
          <w:b/>
          <w:bCs/>
          <w:i/>
          <w:iCs/>
          <w:sz w:val="24"/>
        </w:rPr>
        <w:t>。</w:t>
      </w:r>
    </w:p>
    <w:p w14:paraId="36E8AAB2">
      <w:pPr>
        <w:spacing w:line="360" w:lineRule="auto"/>
        <w:ind w:left="1412"/>
        <w:rPr>
          <w:rFonts w:eastAsia="楷体_GB2312"/>
          <w:b/>
          <w:bCs/>
          <w:i/>
          <w:iCs/>
          <w:color w:val="FF0000"/>
          <w:sz w:val="24"/>
        </w:rPr>
      </w:pPr>
      <w:r>
        <w:rPr>
          <w:rFonts w:eastAsia="楷体_GB2312"/>
          <w:b/>
          <w:bCs/>
          <w:i/>
          <w:iCs/>
          <w:color w:val="FF0000"/>
          <w:sz w:val="24"/>
        </w:rPr>
        <w:t>【注：信托设立的前提条件请结合项目实际情况一一确认和调整（如需）。】</w:t>
      </w:r>
    </w:p>
    <w:p w14:paraId="16E93F84">
      <w:pPr>
        <w:spacing w:line="360" w:lineRule="auto"/>
        <w:ind w:left="1412"/>
        <w:rPr>
          <w:rFonts w:eastAsia="楷体_GB2312"/>
          <w:b/>
          <w:sz w:val="24"/>
        </w:rPr>
      </w:pPr>
    </w:p>
    <w:bookmarkEnd w:id="66"/>
    <w:p w14:paraId="0D365E0F">
      <w:pPr>
        <w:numPr>
          <w:ilvl w:val="1"/>
          <w:numId w:val="4"/>
        </w:numPr>
        <w:tabs>
          <w:tab w:val="left" w:pos="900"/>
        </w:tabs>
        <w:spacing w:line="380" w:lineRule="atLeast"/>
        <w:outlineLvl w:val="1"/>
        <w:rPr>
          <w:rFonts w:eastAsia="楷体_GB2312"/>
          <w:sz w:val="24"/>
        </w:rPr>
      </w:pPr>
      <w:bookmarkStart w:id="69" w:name="_Toc146989561"/>
      <w:bookmarkEnd w:id="69"/>
      <w:bookmarkStart w:id="70" w:name="_Toc146989560"/>
      <w:bookmarkEnd w:id="70"/>
      <w:bookmarkStart w:id="71" w:name="_Toc146989559"/>
      <w:bookmarkEnd w:id="71"/>
      <w:bookmarkStart w:id="72" w:name="_Ref51330570"/>
      <w:bookmarkStart w:id="73" w:name="_Ref51924277"/>
      <w:bookmarkStart w:id="74" w:name="_Toc110153422"/>
      <w:bookmarkStart w:id="75" w:name="_Ref146337698"/>
      <w:bookmarkStart w:id="76" w:name="_Toc111281773"/>
      <w:bookmarkStart w:id="77" w:name="_Ref51333266"/>
      <w:r>
        <w:rPr>
          <w:rFonts w:eastAsia="楷体_GB2312"/>
          <w:b/>
          <w:sz w:val="24"/>
        </w:rPr>
        <w:t>信托财</w:t>
      </w:r>
      <w:r>
        <w:rPr>
          <w:rFonts w:hint="eastAsia" w:eastAsia="楷体_GB2312"/>
          <w:b/>
          <w:sz w:val="24"/>
        </w:rPr>
        <w:t>产</w:t>
      </w:r>
      <w:r>
        <w:rPr>
          <w:rFonts w:eastAsia="楷体_GB2312"/>
          <w:b/>
          <w:sz w:val="24"/>
        </w:rPr>
        <w:t>的交付</w:t>
      </w:r>
      <w:bookmarkEnd w:id="72"/>
      <w:bookmarkEnd w:id="73"/>
      <w:bookmarkEnd w:id="74"/>
      <w:bookmarkEnd w:id="75"/>
      <w:bookmarkEnd w:id="76"/>
    </w:p>
    <w:bookmarkEnd w:id="77"/>
    <w:p w14:paraId="79C31447">
      <w:pPr>
        <w:pStyle w:val="78"/>
        <w:spacing w:line="360" w:lineRule="auto"/>
        <w:ind w:left="425" w:firstLine="415" w:firstLineChars="0"/>
        <w:rPr>
          <w:rFonts w:eastAsia="楷体_GB2312"/>
          <w:b/>
          <w:color w:val="FF0000"/>
          <w:sz w:val="24"/>
        </w:rPr>
      </w:pPr>
      <w:r>
        <w:rPr>
          <w:rFonts w:eastAsia="楷体_GB2312"/>
          <w:b/>
          <w:bCs/>
          <w:i/>
          <w:iCs/>
          <w:color w:val="FF0000"/>
          <w:sz w:val="24"/>
        </w:rPr>
        <w:t>【注：信托财产的交付形式可根据具体项目情况调整。】</w:t>
      </w:r>
    </w:p>
    <w:p w14:paraId="4BEDD5CA">
      <w:pPr>
        <w:spacing w:line="380" w:lineRule="atLeast"/>
        <w:ind w:left="1620" w:hanging="769"/>
        <w:rPr>
          <w:rFonts w:eastAsia="楷体_GB2312"/>
          <w:b/>
          <w:bCs/>
          <w:sz w:val="24"/>
        </w:rPr>
      </w:pPr>
    </w:p>
    <w:p w14:paraId="7E2F72BB">
      <w:pPr>
        <w:numPr>
          <w:ilvl w:val="2"/>
          <w:numId w:val="4"/>
        </w:numPr>
        <w:tabs>
          <w:tab w:val="left" w:pos="900"/>
        </w:tabs>
        <w:spacing w:line="380" w:lineRule="atLeast"/>
        <w:ind w:left="1620" w:hanging="769"/>
        <w:rPr>
          <w:rFonts w:eastAsia="楷体_GB2312"/>
          <w:sz w:val="24"/>
        </w:rPr>
      </w:pPr>
      <w:bookmarkStart w:id="78" w:name="_Ref107146831"/>
      <w:bookmarkStart w:id="79" w:name="_Ref51241105"/>
      <w:r>
        <w:rPr>
          <w:rFonts w:eastAsia="楷体_GB2312"/>
          <w:sz w:val="24"/>
        </w:rPr>
        <w:t>本合同第</w:t>
      </w:r>
      <w:r>
        <w:rPr>
          <w:rFonts w:eastAsia="楷体_GB2312"/>
          <w:sz w:val="24"/>
        </w:rPr>
        <w:fldChar w:fldCharType="begin"/>
      </w:r>
      <w:r>
        <w:rPr>
          <w:rFonts w:eastAsia="楷体_GB2312"/>
          <w:sz w:val="24"/>
        </w:rPr>
        <w:instrText xml:space="preserve"> REF _Ref422926913 \r \h </w:instrText>
      </w:r>
      <w:r>
        <w:rPr>
          <w:rFonts w:eastAsia="楷体_GB2312"/>
          <w:sz w:val="24"/>
        </w:rPr>
        <w:fldChar w:fldCharType="separate"/>
      </w:r>
      <w:r>
        <w:rPr>
          <w:rFonts w:eastAsia="楷体_GB2312"/>
          <w:sz w:val="24"/>
        </w:rPr>
        <w:t>3.8</w:t>
      </w:r>
      <w:r>
        <w:rPr>
          <w:rFonts w:eastAsia="楷体_GB2312"/>
          <w:sz w:val="24"/>
        </w:rPr>
        <w:fldChar w:fldCharType="end"/>
      </w:r>
      <w:r>
        <w:rPr>
          <w:rFonts w:eastAsia="楷体_GB2312"/>
          <w:sz w:val="24"/>
        </w:rPr>
        <w:t>款约定的条件均已满足</w:t>
      </w:r>
      <w:r>
        <w:rPr>
          <w:rFonts w:eastAsia="楷体_GB2312"/>
          <w:sz w:val="24"/>
          <w:lang w:val="en-GB"/>
        </w:rPr>
        <w:t>或被放弃</w:t>
      </w:r>
      <w:r>
        <w:rPr>
          <w:rFonts w:eastAsia="楷体_GB2312"/>
          <w:sz w:val="24"/>
        </w:rPr>
        <w:t>的，“委托人”应于“信托财产交付日”将记载“信贷资产”情况的“信贷资产清单”</w:t>
      </w:r>
      <w:r>
        <w:rPr>
          <w:rFonts w:eastAsia="楷体_GB2312"/>
          <w:color w:val="000000"/>
          <w:sz w:val="24"/>
        </w:rPr>
        <w:t>以“受托人”接受的形式</w:t>
      </w:r>
      <w:r>
        <w:rPr>
          <w:rFonts w:eastAsia="楷体_GB2312"/>
          <w:sz w:val="24"/>
        </w:rPr>
        <w:t>交付给“受托人”</w:t>
      </w:r>
      <w:bookmarkEnd w:id="78"/>
      <w:r>
        <w:rPr>
          <w:rFonts w:eastAsia="楷体_GB2312"/>
          <w:sz w:val="24"/>
        </w:rPr>
        <w:t>。</w:t>
      </w:r>
      <w:bookmarkEnd w:id="79"/>
    </w:p>
    <w:p w14:paraId="7D5173A7">
      <w:pPr>
        <w:spacing w:line="380" w:lineRule="atLeast"/>
        <w:rPr>
          <w:rFonts w:eastAsia="楷体_GB2312"/>
          <w:b/>
          <w:color w:val="0000FF"/>
          <w:sz w:val="24"/>
        </w:rPr>
      </w:pPr>
    </w:p>
    <w:p w14:paraId="38CEDA76">
      <w:pPr>
        <w:numPr>
          <w:ilvl w:val="2"/>
          <w:numId w:val="4"/>
        </w:numPr>
        <w:tabs>
          <w:tab w:val="left" w:pos="900"/>
        </w:tabs>
        <w:spacing w:line="380" w:lineRule="atLeast"/>
        <w:ind w:left="1620" w:hanging="769"/>
        <w:rPr>
          <w:rFonts w:eastAsia="楷体_GB2312"/>
          <w:sz w:val="24"/>
        </w:rPr>
      </w:pPr>
      <w:r>
        <w:rPr>
          <w:rFonts w:eastAsia="楷体_GB2312"/>
          <w:sz w:val="24"/>
        </w:rPr>
        <w:t>在“委托人”将本合同第</w:t>
      </w:r>
      <w:r>
        <w:rPr>
          <w:rFonts w:eastAsia="楷体_GB2312"/>
          <w:sz w:val="24"/>
        </w:rPr>
        <w:fldChar w:fldCharType="begin"/>
      </w:r>
      <w:r>
        <w:rPr>
          <w:rFonts w:eastAsia="楷体_GB2312"/>
          <w:sz w:val="24"/>
        </w:rPr>
        <w:instrText xml:space="preserve"> REF _Ref51241105 \r \h </w:instrText>
      </w:r>
      <w:r>
        <w:rPr>
          <w:rFonts w:eastAsia="楷体_GB2312"/>
          <w:sz w:val="24"/>
        </w:rPr>
        <w:fldChar w:fldCharType="separate"/>
      </w:r>
      <w:r>
        <w:rPr>
          <w:rFonts w:eastAsia="楷体_GB2312"/>
          <w:sz w:val="24"/>
        </w:rPr>
        <w:t>3.9.1</w:t>
      </w:r>
      <w:r>
        <w:rPr>
          <w:rFonts w:eastAsia="楷体_GB2312"/>
          <w:sz w:val="24"/>
        </w:rPr>
        <w:fldChar w:fldCharType="end"/>
      </w:r>
      <w:r>
        <w:rPr>
          <w:rFonts w:eastAsia="楷体_GB2312"/>
          <w:sz w:val="24"/>
        </w:rPr>
        <w:t>款所列全部文件交付给“受托人”后，“受托人”应在当日向“委托人”出具本合同第</w:t>
      </w:r>
      <w:r>
        <w:rPr>
          <w:rFonts w:eastAsia="楷体_GB2312"/>
          <w:sz w:val="24"/>
        </w:rPr>
        <w:fldChar w:fldCharType="begin"/>
      </w:r>
      <w:r>
        <w:rPr>
          <w:rFonts w:eastAsia="楷体_GB2312"/>
          <w:sz w:val="24"/>
        </w:rPr>
        <w:instrText xml:space="preserve"> REF _Ref51241105 \r \h </w:instrText>
      </w:r>
      <w:r>
        <w:rPr>
          <w:rFonts w:eastAsia="楷体_GB2312"/>
          <w:sz w:val="24"/>
        </w:rPr>
        <w:fldChar w:fldCharType="separate"/>
      </w:r>
      <w:r>
        <w:rPr>
          <w:rFonts w:eastAsia="楷体_GB2312"/>
          <w:sz w:val="24"/>
        </w:rPr>
        <w:t>3.9.1</w:t>
      </w:r>
      <w:r>
        <w:rPr>
          <w:rFonts w:eastAsia="楷体_GB2312"/>
          <w:sz w:val="24"/>
        </w:rPr>
        <w:fldChar w:fldCharType="end"/>
      </w:r>
      <w:r>
        <w:rPr>
          <w:rFonts w:eastAsia="楷体_GB2312"/>
          <w:sz w:val="24"/>
        </w:rPr>
        <w:t>款所列文件已经接收的确认函（格式见本合同</w:t>
      </w:r>
      <w:r>
        <w:rPr>
          <w:rFonts w:eastAsia="楷体_GB2312"/>
          <w:i/>
          <w:iCs/>
          <w:sz w:val="24"/>
        </w:rPr>
        <w:t>【</w:t>
      </w:r>
      <w:r>
        <w:rPr>
          <w:rFonts w:eastAsia="楷体_GB2312"/>
          <w:b/>
          <w:i/>
          <w:sz w:val="24"/>
        </w:rPr>
        <w:t>附件二】</w:t>
      </w:r>
      <w:r>
        <w:rPr>
          <w:rFonts w:eastAsia="楷体_GB2312"/>
          <w:sz w:val="24"/>
        </w:rPr>
        <w:t>）并加盖“受托人”的公章。</w:t>
      </w:r>
    </w:p>
    <w:p w14:paraId="729FA007">
      <w:pPr>
        <w:spacing w:line="380" w:lineRule="atLeast"/>
        <w:ind w:left="851"/>
        <w:rPr>
          <w:rFonts w:eastAsia="楷体_GB2312"/>
          <w:sz w:val="24"/>
        </w:rPr>
      </w:pPr>
    </w:p>
    <w:p w14:paraId="70CB3177">
      <w:pPr>
        <w:numPr>
          <w:ilvl w:val="2"/>
          <w:numId w:val="4"/>
        </w:numPr>
        <w:tabs>
          <w:tab w:val="left" w:pos="900"/>
        </w:tabs>
        <w:spacing w:line="380" w:lineRule="atLeast"/>
        <w:ind w:left="1620" w:hanging="769"/>
        <w:rPr>
          <w:rFonts w:eastAsia="楷体_GB2312"/>
          <w:sz w:val="24"/>
        </w:rPr>
      </w:pPr>
      <w:bookmarkStart w:id="80" w:name="_Ref424129664"/>
      <w:r>
        <w:rPr>
          <w:rFonts w:eastAsia="楷体_GB2312"/>
          <w:sz w:val="24"/>
        </w:rPr>
        <w:t>双方确认，自“信托财产交付日”起，“贷款服务机构”将根据“《服务合同》”的有关约定，代“受托人”保管属于“受托人”的全部“账户记录”原件。</w:t>
      </w:r>
      <w:bookmarkEnd w:id="80"/>
      <w:r>
        <w:rPr>
          <w:rFonts w:eastAsia="楷体_GB2312"/>
          <w:sz w:val="24"/>
        </w:rPr>
        <w:t>当“委托人”同时担任“贷款服务机构”时，“信贷资产”相关的“账户记录”应视为自“信托财产交付日”起由“委托人”交付至作为“受托人”代理人的“贷款服务机构”。</w:t>
      </w:r>
      <w:bookmarkStart w:id="81" w:name="_Ref51357778"/>
      <w:r>
        <w:rPr>
          <w:rFonts w:eastAsia="楷体_GB2312"/>
          <w:sz w:val="24"/>
        </w:rPr>
        <w:t>就本合同第</w:t>
      </w:r>
      <w:r>
        <w:rPr>
          <w:rFonts w:eastAsia="楷体_GB2312"/>
          <w:sz w:val="24"/>
        </w:rPr>
        <w:fldChar w:fldCharType="begin"/>
      </w:r>
      <w:r>
        <w:rPr>
          <w:rFonts w:eastAsia="楷体_GB2312"/>
          <w:sz w:val="24"/>
        </w:rPr>
        <w:instrText xml:space="preserve"> REF _Ref51333053 \r \h </w:instrText>
      </w:r>
      <w:r>
        <w:rPr>
          <w:rFonts w:eastAsia="楷体_GB2312"/>
          <w:sz w:val="24"/>
        </w:rPr>
        <w:fldChar w:fldCharType="separate"/>
      </w:r>
      <w:r>
        <w:rPr>
          <w:rFonts w:eastAsia="楷体_GB2312"/>
          <w:sz w:val="24"/>
        </w:rPr>
        <w:t>3.6.2</w:t>
      </w:r>
      <w:r>
        <w:rPr>
          <w:rFonts w:eastAsia="楷体_GB2312"/>
          <w:sz w:val="24"/>
        </w:rPr>
        <w:fldChar w:fldCharType="end"/>
      </w:r>
      <w:r>
        <w:rPr>
          <w:rFonts w:eastAsia="楷体_GB2312"/>
          <w:sz w:val="24"/>
        </w:rPr>
        <w:t>款约定属于“委托人”所有的“账户记录”，在发生“《服务合同》”约定的向“后备贷款服务机构”（或者“替代贷款服务机构”、“受托人”或“受托人”指定的第三方，视具体情况而定）移交“账户记录”时，“委托人”应当将一份经过公证的、证明与原件一致的、与“信贷资产”有关的“《借款合同》”、“《担保合同》”（如有）等“账户记录”复印件移交给前述机构</w:t>
      </w:r>
      <w:r>
        <w:rPr>
          <w:rFonts w:hint="eastAsia" w:eastAsia="楷体_GB2312"/>
          <w:sz w:val="24"/>
        </w:rPr>
        <w:t>。</w:t>
      </w:r>
      <w:r>
        <w:rPr>
          <w:rFonts w:eastAsia="楷体_GB2312"/>
          <w:sz w:val="24"/>
        </w:rPr>
        <w:t>如果“委托人”不能按时向前述机构移交前述文件的，“受托人”有权要求“委托人”赎回该笔“信贷资产”，赎回方式参照本合同第</w:t>
      </w:r>
      <w:r>
        <w:rPr>
          <w:rFonts w:eastAsia="楷体_GB2312"/>
          <w:sz w:val="24"/>
        </w:rPr>
        <w:fldChar w:fldCharType="begin"/>
      </w:r>
      <w:r>
        <w:rPr>
          <w:rFonts w:eastAsia="楷体_GB2312"/>
          <w:sz w:val="24"/>
        </w:rPr>
        <w:instrText xml:space="preserve"> REF _Ref373951204 \r \h  \* MERGEFORMAT </w:instrText>
      </w:r>
      <w:r>
        <w:rPr>
          <w:rFonts w:eastAsia="楷体_GB2312"/>
          <w:sz w:val="24"/>
        </w:rPr>
        <w:fldChar w:fldCharType="separate"/>
      </w:r>
      <w:r>
        <w:rPr>
          <w:rFonts w:eastAsia="楷体_GB2312"/>
          <w:sz w:val="24"/>
        </w:rPr>
        <w:t>12</w:t>
      </w:r>
      <w:r>
        <w:rPr>
          <w:rFonts w:eastAsia="楷体_GB2312"/>
          <w:sz w:val="24"/>
        </w:rPr>
        <w:fldChar w:fldCharType="end"/>
      </w:r>
      <w:r>
        <w:rPr>
          <w:rFonts w:eastAsia="楷体_GB2312"/>
          <w:sz w:val="24"/>
        </w:rPr>
        <w:t>条。</w:t>
      </w:r>
      <w:bookmarkEnd w:id="81"/>
    </w:p>
    <w:p w14:paraId="3E358510">
      <w:pPr>
        <w:tabs>
          <w:tab w:val="left" w:pos="1571"/>
        </w:tabs>
        <w:spacing w:line="380" w:lineRule="atLeast"/>
        <w:ind w:left="851"/>
        <w:rPr>
          <w:rFonts w:eastAsia="楷体_GB2312"/>
          <w:sz w:val="24"/>
        </w:rPr>
      </w:pPr>
    </w:p>
    <w:p w14:paraId="263E80C5">
      <w:pPr>
        <w:numPr>
          <w:ilvl w:val="2"/>
          <w:numId w:val="4"/>
        </w:numPr>
        <w:tabs>
          <w:tab w:val="left" w:pos="900"/>
        </w:tabs>
        <w:spacing w:line="380" w:lineRule="atLeast"/>
        <w:ind w:left="1620" w:hanging="769"/>
        <w:rPr>
          <w:rStyle w:val="63"/>
          <w:rFonts w:eastAsia="楷体_GB2312"/>
          <w:color w:val="auto"/>
          <w:w w:val="0"/>
          <w:sz w:val="24"/>
          <w:u w:val="none"/>
        </w:rPr>
      </w:pPr>
      <w:bookmarkStart w:id="82" w:name="_DV_C324"/>
      <w:bookmarkStart w:id="83" w:name="_Ref173742621"/>
      <w:bookmarkStart w:id="84" w:name="_Ref51924231"/>
      <w:bookmarkStart w:id="85" w:name="_Ref146254109"/>
      <w:r>
        <w:rPr>
          <w:rStyle w:val="63"/>
          <w:rFonts w:eastAsia="楷体_GB2312"/>
          <w:color w:val="auto"/>
          <w:w w:val="0"/>
          <w:sz w:val="24"/>
          <w:u w:val="none"/>
        </w:rPr>
        <w:t>“委托人”应于【“信托财产交付日”/第一个“回收款转付日”】将</w:t>
      </w:r>
      <w:bookmarkStart w:id="86" w:name="_Hlk52264384"/>
      <w:r>
        <w:rPr>
          <w:rStyle w:val="63"/>
          <w:rFonts w:eastAsia="楷体_GB2312"/>
          <w:color w:val="auto"/>
          <w:w w:val="0"/>
          <w:sz w:val="24"/>
          <w:u w:val="none"/>
        </w:rPr>
        <w:t>“过渡期”内收到的所有“信贷资产”产生的“回收款”</w:t>
      </w:r>
      <w:bookmarkEnd w:id="86"/>
      <w:r>
        <w:rPr>
          <w:rStyle w:val="63"/>
          <w:rFonts w:eastAsia="楷体_GB2312"/>
          <w:color w:val="auto"/>
          <w:w w:val="0"/>
          <w:sz w:val="24"/>
          <w:u w:val="none"/>
        </w:rPr>
        <w:t>转入“信托账户</w:t>
      </w:r>
      <w:bookmarkEnd w:id="82"/>
      <w:bookmarkEnd w:id="83"/>
      <w:r>
        <w:rPr>
          <w:rStyle w:val="63"/>
          <w:rFonts w:eastAsia="楷体_GB2312"/>
          <w:color w:val="auto"/>
          <w:w w:val="0"/>
          <w:sz w:val="24"/>
          <w:u w:val="none"/>
        </w:rPr>
        <w:t>”。</w:t>
      </w:r>
      <w:bookmarkEnd w:id="84"/>
    </w:p>
    <w:p w14:paraId="46DEC3C2">
      <w:pPr>
        <w:tabs>
          <w:tab w:val="left" w:pos="425"/>
          <w:tab w:val="left" w:pos="900"/>
          <w:tab w:val="left" w:pos="1571"/>
        </w:tabs>
        <w:spacing w:line="380" w:lineRule="atLeast"/>
        <w:ind w:left="1620"/>
        <w:rPr>
          <w:rFonts w:eastAsia="楷体_GB2312"/>
          <w:b/>
          <w:i/>
          <w:iCs/>
          <w:snapToGrid w:val="0"/>
          <w:color w:val="FF0000"/>
          <w:kern w:val="28"/>
          <w:sz w:val="24"/>
        </w:rPr>
      </w:pPr>
      <w:r>
        <w:rPr>
          <w:rFonts w:eastAsia="楷体_GB2312"/>
          <w:b/>
          <w:i/>
          <w:iCs/>
          <w:snapToGrid w:val="0"/>
          <w:color w:val="FF0000"/>
          <w:kern w:val="28"/>
          <w:sz w:val="24"/>
        </w:rPr>
        <w:t>【注：“初始起算日”至“信托生效日”期间纳入“信托财产”的“回收款”的范围及转付时间可根据项目的具体情况确定。】</w:t>
      </w:r>
    </w:p>
    <w:p w14:paraId="6B08BA2C">
      <w:pPr>
        <w:tabs>
          <w:tab w:val="left" w:pos="1800"/>
        </w:tabs>
        <w:spacing w:line="380" w:lineRule="atLeast"/>
        <w:ind w:left="1800" w:hanging="949"/>
        <w:rPr>
          <w:rFonts w:eastAsia="楷体_GB2312"/>
          <w:w w:val="0"/>
          <w:sz w:val="24"/>
        </w:rPr>
      </w:pPr>
    </w:p>
    <w:p w14:paraId="48DB1BE0">
      <w:pPr>
        <w:numPr>
          <w:ilvl w:val="2"/>
          <w:numId w:val="4"/>
        </w:numPr>
        <w:tabs>
          <w:tab w:val="left" w:pos="900"/>
        </w:tabs>
        <w:spacing w:line="380" w:lineRule="atLeast"/>
        <w:ind w:left="1620" w:hanging="769"/>
        <w:rPr>
          <w:rStyle w:val="63"/>
          <w:rFonts w:eastAsia="楷体_GB2312"/>
          <w:color w:val="000000"/>
          <w:w w:val="0"/>
          <w:sz w:val="24"/>
          <w:u w:val="none"/>
        </w:rPr>
      </w:pPr>
      <w:bookmarkStart w:id="87" w:name="_DV_C331"/>
      <w:r>
        <w:rPr>
          <w:rStyle w:val="63"/>
          <w:rFonts w:eastAsia="楷体_GB2312"/>
          <w:color w:val="auto"/>
          <w:w w:val="0"/>
          <w:sz w:val="24"/>
          <w:u w:val="none"/>
        </w:rPr>
        <w:t>在“委托人”收到“受托人”出具的确认函且“委托人”履行完毕本合同第</w:t>
      </w:r>
      <w:r>
        <w:rPr>
          <w:rStyle w:val="63"/>
          <w:rFonts w:eastAsia="楷体_GB2312"/>
          <w:color w:val="auto"/>
          <w:w w:val="0"/>
          <w:sz w:val="24"/>
          <w:u w:val="none"/>
        </w:rPr>
        <w:fldChar w:fldCharType="begin"/>
      </w:r>
      <w:r>
        <w:rPr>
          <w:rStyle w:val="63"/>
          <w:rFonts w:eastAsia="楷体_GB2312"/>
          <w:color w:val="auto"/>
          <w:w w:val="0"/>
          <w:sz w:val="24"/>
          <w:u w:val="none"/>
        </w:rPr>
        <w:instrText xml:space="preserve"> REF _Ref51924231 \r \h </w:instrText>
      </w:r>
      <w:r>
        <w:rPr>
          <w:rStyle w:val="63"/>
          <w:rFonts w:eastAsia="楷体_GB2312"/>
          <w:color w:val="auto"/>
          <w:w w:val="0"/>
          <w:sz w:val="24"/>
          <w:u w:val="none"/>
        </w:rPr>
        <w:fldChar w:fldCharType="separate"/>
      </w:r>
      <w:r>
        <w:rPr>
          <w:rStyle w:val="63"/>
          <w:rFonts w:eastAsia="楷体_GB2312"/>
          <w:color w:val="auto"/>
          <w:w w:val="0"/>
          <w:sz w:val="24"/>
          <w:u w:val="none"/>
        </w:rPr>
        <w:t>3.9.4</w:t>
      </w:r>
      <w:r>
        <w:rPr>
          <w:rStyle w:val="63"/>
          <w:rFonts w:eastAsia="楷体_GB2312"/>
          <w:color w:val="auto"/>
          <w:w w:val="0"/>
          <w:sz w:val="24"/>
          <w:u w:val="none"/>
        </w:rPr>
        <w:fldChar w:fldCharType="end"/>
      </w:r>
      <w:r>
        <w:rPr>
          <w:rStyle w:val="63"/>
          <w:rFonts w:eastAsia="楷体_GB2312"/>
          <w:color w:val="auto"/>
          <w:w w:val="0"/>
          <w:sz w:val="24"/>
          <w:u w:val="none"/>
        </w:rPr>
        <w:t>款的划款义务后，“信托财产”交付完毕。</w:t>
      </w:r>
      <w:bookmarkEnd w:id="87"/>
    </w:p>
    <w:p w14:paraId="18C93DD0">
      <w:pPr>
        <w:tabs>
          <w:tab w:val="left" w:pos="425"/>
          <w:tab w:val="left" w:pos="900"/>
          <w:tab w:val="left" w:pos="1571"/>
        </w:tabs>
        <w:spacing w:line="380" w:lineRule="atLeast"/>
        <w:ind w:left="1620"/>
        <w:rPr>
          <w:rFonts w:eastAsia="楷体_GB2312"/>
          <w:b/>
          <w:i/>
          <w:iCs/>
          <w:snapToGrid w:val="0"/>
          <w:color w:val="FF0000"/>
          <w:kern w:val="28"/>
          <w:sz w:val="24"/>
        </w:rPr>
      </w:pPr>
      <w:r>
        <w:rPr>
          <w:rFonts w:eastAsia="楷体_GB2312"/>
          <w:b/>
          <w:i/>
          <w:iCs/>
          <w:snapToGrid w:val="0"/>
          <w:color w:val="FF0000"/>
          <w:kern w:val="28"/>
          <w:sz w:val="24"/>
        </w:rPr>
        <w:t>【注：确认函的出具形式可根据项目具体情况进行合理调整。】</w:t>
      </w:r>
    </w:p>
    <w:p w14:paraId="7B551B71">
      <w:pPr>
        <w:pStyle w:val="75"/>
        <w:ind w:firstLine="480"/>
        <w:rPr>
          <w:rFonts w:eastAsia="楷体_GB2312"/>
          <w:color w:val="000000"/>
          <w:w w:val="0"/>
          <w:sz w:val="24"/>
        </w:rPr>
      </w:pPr>
    </w:p>
    <w:p w14:paraId="0B0AB7D0">
      <w:pPr>
        <w:numPr>
          <w:ilvl w:val="2"/>
          <w:numId w:val="4"/>
        </w:numPr>
        <w:tabs>
          <w:tab w:val="left" w:pos="900"/>
        </w:tabs>
        <w:spacing w:line="380" w:lineRule="atLeast"/>
        <w:ind w:left="1620" w:hanging="769"/>
        <w:rPr>
          <w:rFonts w:eastAsia="楷体_GB2312"/>
          <w:color w:val="000000"/>
          <w:w w:val="0"/>
          <w:sz w:val="24"/>
        </w:rPr>
      </w:pPr>
      <w:bookmarkStart w:id="88" w:name="_Ref53675020"/>
      <w:bookmarkStart w:id="89" w:name="_Ref51357717"/>
      <w:bookmarkStart w:id="90" w:name="_Ref419819215"/>
      <w:bookmarkStart w:id="91" w:name="_Ref482094085"/>
      <w:r>
        <w:rPr>
          <w:rFonts w:eastAsia="楷体_GB2312"/>
          <w:sz w:val="24"/>
        </w:rPr>
        <w:t>双方确认，</w:t>
      </w:r>
      <w:r>
        <w:rPr>
          <w:rStyle w:val="63"/>
          <w:rFonts w:eastAsia="楷体_GB2312"/>
          <w:color w:val="auto"/>
          <w:w w:val="0"/>
          <w:sz w:val="24"/>
          <w:u w:val="none"/>
        </w:rPr>
        <w:t>“</w:t>
      </w:r>
      <w:r>
        <w:rPr>
          <w:rFonts w:eastAsia="楷体_GB2312"/>
          <w:color w:val="000000"/>
          <w:w w:val="0"/>
          <w:sz w:val="24"/>
        </w:rPr>
        <w:t>信贷资产清单</w:t>
      </w:r>
      <w:r>
        <w:rPr>
          <w:rStyle w:val="63"/>
          <w:rFonts w:eastAsia="楷体_GB2312"/>
          <w:color w:val="auto"/>
          <w:w w:val="0"/>
          <w:sz w:val="24"/>
          <w:u w:val="none"/>
        </w:rPr>
        <w:t>”</w:t>
      </w:r>
      <w:r>
        <w:rPr>
          <w:rFonts w:eastAsia="楷体_GB2312"/>
          <w:color w:val="000000"/>
          <w:w w:val="0"/>
          <w:sz w:val="24"/>
        </w:rPr>
        <w:t>所列的</w:t>
      </w:r>
      <w:r>
        <w:rPr>
          <w:rStyle w:val="63"/>
          <w:rFonts w:eastAsia="楷体_GB2312"/>
          <w:color w:val="auto"/>
          <w:w w:val="0"/>
          <w:sz w:val="24"/>
          <w:u w:val="none"/>
        </w:rPr>
        <w:t>“</w:t>
      </w:r>
      <w:r>
        <w:rPr>
          <w:rFonts w:eastAsia="楷体_GB2312"/>
          <w:color w:val="000000"/>
          <w:w w:val="0"/>
          <w:sz w:val="24"/>
        </w:rPr>
        <w:t>信贷资产</w:t>
      </w:r>
      <w:r>
        <w:rPr>
          <w:rStyle w:val="63"/>
          <w:rFonts w:eastAsia="楷体_GB2312"/>
          <w:color w:val="auto"/>
          <w:w w:val="0"/>
          <w:sz w:val="24"/>
          <w:u w:val="none"/>
        </w:rPr>
        <w:t>”</w:t>
      </w:r>
      <w:r>
        <w:rPr>
          <w:rFonts w:eastAsia="楷体_GB2312"/>
          <w:color w:val="000000"/>
          <w:w w:val="0"/>
          <w:sz w:val="24"/>
        </w:rPr>
        <w:t>自</w:t>
      </w:r>
      <w:r>
        <w:rPr>
          <w:rStyle w:val="63"/>
          <w:rFonts w:eastAsia="楷体_GB2312"/>
          <w:color w:val="auto"/>
          <w:w w:val="0"/>
          <w:sz w:val="24"/>
          <w:u w:val="none"/>
        </w:rPr>
        <w:t>“</w:t>
      </w:r>
      <w:r>
        <w:rPr>
          <w:rFonts w:eastAsia="楷体_GB2312"/>
          <w:color w:val="000000"/>
          <w:w w:val="0"/>
          <w:sz w:val="24"/>
        </w:rPr>
        <w:t>初始起算日</w:t>
      </w:r>
      <w:r>
        <w:rPr>
          <w:rStyle w:val="63"/>
          <w:rFonts w:eastAsia="楷体_GB2312"/>
          <w:color w:val="auto"/>
          <w:w w:val="0"/>
          <w:sz w:val="24"/>
          <w:u w:val="none"/>
        </w:rPr>
        <w:t>”【</w:t>
      </w:r>
      <w:r>
        <w:rPr>
          <w:rFonts w:eastAsia="楷体_GB2312"/>
          <w:i/>
          <w:iCs/>
          <w:color w:val="000000" w:themeColor="text1"/>
          <w:sz w:val="24"/>
          <w14:textFill>
            <w14:solidFill>
              <w14:schemeClr w14:val="tx1"/>
            </w14:solidFill>
          </w14:textFill>
        </w:rPr>
        <w:t>具体时点</w:t>
      </w:r>
      <w:r>
        <w:rPr>
          <w:rFonts w:eastAsia="楷体_GB2312"/>
          <w:sz w:val="24"/>
        </w:rPr>
        <w:t>】</w:t>
      </w:r>
      <w:r>
        <w:rPr>
          <w:rFonts w:eastAsia="楷体_GB2312"/>
          <w:color w:val="000000"/>
          <w:w w:val="0"/>
          <w:sz w:val="24"/>
        </w:rPr>
        <w:t>起的</w:t>
      </w:r>
      <w:r>
        <w:rPr>
          <w:rStyle w:val="63"/>
          <w:rFonts w:eastAsia="楷体_GB2312"/>
          <w:color w:val="auto"/>
          <w:w w:val="0"/>
          <w:sz w:val="24"/>
          <w:u w:val="none"/>
        </w:rPr>
        <w:t>“</w:t>
      </w:r>
      <w:r>
        <w:rPr>
          <w:rFonts w:eastAsia="楷体_GB2312"/>
          <w:color w:val="000000"/>
          <w:w w:val="0"/>
          <w:sz w:val="24"/>
        </w:rPr>
        <w:t>贷款</w:t>
      </w:r>
      <w:r>
        <w:rPr>
          <w:rStyle w:val="63"/>
          <w:rFonts w:eastAsia="楷体_GB2312"/>
          <w:color w:val="auto"/>
          <w:w w:val="0"/>
          <w:sz w:val="24"/>
          <w:u w:val="none"/>
        </w:rPr>
        <w:t>”</w:t>
      </w:r>
      <w:r>
        <w:rPr>
          <w:rFonts w:eastAsia="楷体_GB2312"/>
          <w:color w:val="000000"/>
          <w:w w:val="0"/>
          <w:sz w:val="24"/>
        </w:rPr>
        <w:t>债权及其“附属权益”即属于</w:t>
      </w:r>
      <w:r>
        <w:rPr>
          <w:rStyle w:val="63"/>
          <w:rFonts w:eastAsia="楷体_GB2312"/>
          <w:color w:val="auto"/>
          <w:w w:val="0"/>
          <w:sz w:val="24"/>
          <w:u w:val="none"/>
        </w:rPr>
        <w:t>“</w:t>
      </w:r>
      <w:r>
        <w:rPr>
          <w:rFonts w:eastAsia="楷体_GB2312"/>
          <w:color w:val="000000"/>
          <w:w w:val="0"/>
          <w:sz w:val="24"/>
        </w:rPr>
        <w:t>信托</w:t>
      </w:r>
      <w:r>
        <w:rPr>
          <w:rStyle w:val="63"/>
          <w:rFonts w:eastAsia="楷体_GB2312"/>
          <w:color w:val="auto"/>
          <w:w w:val="0"/>
          <w:sz w:val="24"/>
          <w:u w:val="none"/>
        </w:rPr>
        <w:t>”</w:t>
      </w:r>
      <w:r>
        <w:rPr>
          <w:rFonts w:eastAsia="楷体_GB2312"/>
          <w:color w:val="000000"/>
          <w:w w:val="0"/>
          <w:sz w:val="24"/>
        </w:rPr>
        <w:t>项下</w:t>
      </w:r>
      <w:r>
        <w:rPr>
          <w:rStyle w:val="63"/>
          <w:rFonts w:eastAsia="楷体_GB2312"/>
          <w:color w:val="auto"/>
          <w:w w:val="0"/>
          <w:sz w:val="24"/>
          <w:u w:val="none"/>
        </w:rPr>
        <w:t>“</w:t>
      </w:r>
      <w:r>
        <w:rPr>
          <w:rFonts w:eastAsia="楷体_GB2312"/>
          <w:color w:val="000000"/>
          <w:w w:val="0"/>
          <w:sz w:val="24"/>
        </w:rPr>
        <w:t>信托财产</w:t>
      </w:r>
      <w:r>
        <w:rPr>
          <w:rStyle w:val="63"/>
          <w:rFonts w:eastAsia="楷体_GB2312"/>
          <w:color w:val="auto"/>
          <w:w w:val="0"/>
          <w:sz w:val="24"/>
          <w:u w:val="none"/>
        </w:rPr>
        <w:t>”</w:t>
      </w:r>
      <w:r>
        <w:rPr>
          <w:rFonts w:eastAsia="楷体_GB2312"/>
          <w:color w:val="000000"/>
          <w:w w:val="0"/>
          <w:sz w:val="24"/>
        </w:rPr>
        <w:t>，该等权利的转移不以办理</w:t>
      </w:r>
      <w:r>
        <w:rPr>
          <w:rStyle w:val="63"/>
          <w:rFonts w:eastAsia="楷体_GB2312"/>
          <w:color w:val="auto"/>
          <w:w w:val="0"/>
          <w:sz w:val="24"/>
          <w:u w:val="none"/>
        </w:rPr>
        <w:t>“</w:t>
      </w:r>
      <w:r>
        <w:rPr>
          <w:rFonts w:eastAsia="楷体_GB2312"/>
          <w:color w:val="000000"/>
          <w:w w:val="0"/>
          <w:sz w:val="24"/>
        </w:rPr>
        <w:t>信贷资产</w:t>
      </w:r>
      <w:r>
        <w:rPr>
          <w:rStyle w:val="63"/>
          <w:rFonts w:eastAsia="楷体_GB2312"/>
          <w:color w:val="auto"/>
          <w:w w:val="0"/>
          <w:sz w:val="24"/>
          <w:u w:val="none"/>
        </w:rPr>
        <w:t>”</w:t>
      </w:r>
      <w:r>
        <w:rPr>
          <w:rFonts w:eastAsia="楷体_GB2312"/>
          <w:color w:val="000000"/>
          <w:w w:val="0"/>
          <w:sz w:val="24"/>
        </w:rPr>
        <w:t>项下</w:t>
      </w:r>
      <w:r>
        <w:rPr>
          <w:rStyle w:val="63"/>
          <w:rFonts w:eastAsia="楷体_GB2312"/>
          <w:color w:val="auto"/>
          <w:w w:val="0"/>
          <w:sz w:val="24"/>
          <w:u w:val="none"/>
        </w:rPr>
        <w:t>“</w:t>
      </w:r>
      <w:r>
        <w:rPr>
          <w:rFonts w:eastAsia="楷体_GB2312"/>
          <w:color w:val="000000"/>
          <w:w w:val="0"/>
          <w:sz w:val="24"/>
        </w:rPr>
        <w:t>抵押权</w:t>
      </w:r>
      <w:r>
        <w:rPr>
          <w:rStyle w:val="63"/>
          <w:rFonts w:eastAsia="楷体_GB2312"/>
          <w:color w:val="auto"/>
          <w:w w:val="0"/>
          <w:sz w:val="24"/>
          <w:u w:val="none"/>
        </w:rPr>
        <w:t>”和/或“质权”的</w:t>
      </w:r>
      <w:r>
        <w:rPr>
          <w:rFonts w:eastAsia="楷体_GB2312"/>
          <w:color w:val="000000"/>
          <w:w w:val="0"/>
          <w:sz w:val="24"/>
        </w:rPr>
        <w:t>转移登记手续或“委托人”向“受托人”交付“质押财产”或交付“质押财产”的权利凭证为前提。</w:t>
      </w:r>
      <w:bookmarkEnd w:id="88"/>
    </w:p>
    <w:p w14:paraId="353A607C">
      <w:pPr>
        <w:pStyle w:val="78"/>
        <w:ind w:firstLine="480"/>
        <w:rPr>
          <w:rFonts w:eastAsia="楷体_GB2312"/>
          <w:color w:val="000000"/>
          <w:w w:val="0"/>
          <w:sz w:val="24"/>
        </w:rPr>
      </w:pPr>
    </w:p>
    <w:p w14:paraId="1B94382F">
      <w:pPr>
        <w:spacing w:line="380" w:lineRule="atLeast"/>
        <w:ind w:left="1620"/>
        <w:rPr>
          <w:rFonts w:eastAsia="楷体_GB2312"/>
          <w:color w:val="000000"/>
          <w:w w:val="0"/>
          <w:sz w:val="24"/>
        </w:rPr>
      </w:pPr>
      <w:r>
        <w:rPr>
          <w:rFonts w:eastAsia="楷体_GB2312"/>
          <w:color w:val="000000"/>
          <w:w w:val="0"/>
          <w:sz w:val="24"/>
        </w:rPr>
        <w:t>“</w:t>
      </w:r>
      <w:bookmarkStart w:id="92" w:name="_Ref373960794"/>
      <w:r>
        <w:rPr>
          <w:rFonts w:eastAsia="楷体_GB2312"/>
          <w:color w:val="000000"/>
          <w:w w:val="0"/>
          <w:sz w:val="24"/>
        </w:rPr>
        <w:t>委托人”和“受托人”应根据“中国法律”的规定，于任一“权利完善事件”发生之后【】个“工作日”内办理完毕相关“信贷资产”项下“抵押权”、“质权”的转移登记手续，以确保“受托人”合法取得“抵押权”、“质权”并确保“受托人”成为相应“抵押物”登记的抵押权人、“质押财产”登记的质权人，并将“委托人”持有的“质押财产”（如有）和/或“质押财产”的权利凭证（如有）交付给“受托人”，相关费用由“委托人”承担。</w:t>
      </w:r>
      <w:bookmarkEnd w:id="92"/>
      <w:bookmarkStart w:id="93" w:name="_Hlk26954938"/>
      <w:r>
        <w:rPr>
          <w:rFonts w:eastAsia="楷体_GB2312"/>
          <w:sz w:val="24"/>
        </w:rPr>
        <w:t>对于最高额担保项下还担保了入池“贷款”以外的贷款等债权的，应确保“受托人”享有的担保该等“贷款”的</w:t>
      </w:r>
      <w:r>
        <w:rPr>
          <w:rFonts w:eastAsia="楷体_GB2312"/>
          <w:color w:val="000000"/>
          <w:w w:val="0"/>
          <w:sz w:val="24"/>
        </w:rPr>
        <w:t>“抵押权”、“质权”之顺位等同于或不次于“委托人”享有的担保其他债权的“抵押权”、“质权”。</w:t>
      </w:r>
      <w:bookmarkEnd w:id="93"/>
    </w:p>
    <w:p w14:paraId="203C3353">
      <w:pPr>
        <w:pStyle w:val="75"/>
        <w:ind w:firstLine="480"/>
        <w:rPr>
          <w:rFonts w:eastAsia="楷体_GB2312"/>
          <w:color w:val="000000"/>
          <w:w w:val="0"/>
          <w:sz w:val="24"/>
        </w:rPr>
      </w:pPr>
    </w:p>
    <w:p w14:paraId="4089BF3C">
      <w:pPr>
        <w:tabs>
          <w:tab w:val="left" w:pos="1571"/>
        </w:tabs>
        <w:spacing w:line="380" w:lineRule="atLeast"/>
        <w:ind w:left="1620"/>
        <w:rPr>
          <w:rFonts w:eastAsia="楷体_GB2312"/>
          <w:color w:val="000000"/>
          <w:w w:val="0"/>
          <w:sz w:val="24"/>
        </w:rPr>
      </w:pPr>
      <w:r>
        <w:rPr>
          <w:rFonts w:eastAsia="楷体_GB2312"/>
          <w:color w:val="000000"/>
          <w:w w:val="0"/>
          <w:sz w:val="24"/>
        </w:rPr>
        <w:t>如由于“信托财产交付日”前已存在的任何原因导致在前述限定期限内仍未能办理完毕相关“贷款”项下的“抵押权”、“质权”的转移登记手续，或未能将“委托人”持有的“质押财产”（如有）和/或“质押财产”的权利凭证（如有）交付给“受托人”，</w:t>
      </w:r>
      <w:r>
        <w:rPr>
          <w:rFonts w:eastAsia="楷体_GB2312"/>
          <w:sz w:val="24"/>
        </w:rPr>
        <w:t>“委托人”</w:t>
      </w:r>
      <w:r>
        <w:rPr>
          <w:rFonts w:eastAsia="楷体_GB2312"/>
          <w:color w:val="000000"/>
          <w:w w:val="0"/>
          <w:sz w:val="24"/>
        </w:rPr>
        <w:t>应根据本合同第</w:t>
      </w:r>
      <w:r>
        <w:rPr>
          <w:rFonts w:eastAsia="楷体_GB2312"/>
        </w:rPr>
        <w:fldChar w:fldCharType="begin"/>
      </w:r>
      <w:r>
        <w:rPr>
          <w:rFonts w:eastAsia="楷体_GB2312"/>
        </w:rPr>
        <w:instrText xml:space="preserve"> REF _Ref373951204 \r \h  \* MERGEFORMAT </w:instrText>
      </w:r>
      <w:r>
        <w:rPr>
          <w:rFonts w:eastAsia="楷体_GB2312"/>
        </w:rPr>
        <w:fldChar w:fldCharType="separate"/>
      </w:r>
      <w:r>
        <w:rPr>
          <w:rFonts w:eastAsia="楷体_GB2312"/>
          <w:color w:val="000000"/>
          <w:w w:val="0"/>
          <w:sz w:val="24"/>
        </w:rPr>
        <w:t>12</w:t>
      </w:r>
      <w:r>
        <w:rPr>
          <w:rFonts w:eastAsia="楷体_GB2312"/>
        </w:rPr>
        <w:fldChar w:fldCharType="end"/>
      </w:r>
      <w:r>
        <w:rPr>
          <w:rFonts w:eastAsia="楷体_GB2312"/>
          <w:color w:val="000000"/>
          <w:w w:val="0"/>
          <w:sz w:val="24"/>
        </w:rPr>
        <w:t>条的约定将该等“信贷资产”作为“不合格信贷资产”予以“赎回”。</w:t>
      </w:r>
    </w:p>
    <w:p w14:paraId="7F7A3098">
      <w:pPr>
        <w:spacing w:line="380" w:lineRule="atLeast"/>
        <w:ind w:left="1418"/>
        <w:rPr>
          <w:rFonts w:eastAsia="楷体_GB2312"/>
          <w:color w:val="000000"/>
          <w:w w:val="0"/>
          <w:sz w:val="24"/>
        </w:rPr>
      </w:pPr>
    </w:p>
    <w:p w14:paraId="0DA72238">
      <w:pPr>
        <w:tabs>
          <w:tab w:val="left" w:pos="900"/>
          <w:tab w:val="left" w:pos="1571"/>
        </w:tabs>
        <w:spacing w:line="380" w:lineRule="atLeast"/>
        <w:ind w:left="1620"/>
        <w:rPr>
          <w:rFonts w:eastAsia="楷体_GB2312"/>
          <w:color w:val="000000"/>
          <w:w w:val="0"/>
          <w:sz w:val="24"/>
        </w:rPr>
      </w:pPr>
      <w:r>
        <w:rPr>
          <w:rFonts w:eastAsia="楷体_GB2312"/>
          <w:color w:val="000000"/>
          <w:w w:val="0"/>
          <w:sz w:val="24"/>
        </w:rPr>
        <w:t>如由于“信托财产交付日”后“委托人”的过错导致在前述限定期限内仍未能办理完毕相关“信贷资产”项下的“抵押权”、“质权”的转移登记手续，或未能将“委托人”持有的“质押财产”（如有）和/或“质押财产”的权利凭证（如有）交付给“受托人”，则“委托人”应当但有权选择如下任一措施对其未能及时办理转移登记手续的行为予以补救：(1)承担因此给“受托人”或“信托财产”造成的直接损失；(2)根据本合同第</w:t>
      </w:r>
      <w:r>
        <w:rPr>
          <w:rFonts w:eastAsia="楷体_GB2312"/>
          <w:color w:val="000000"/>
          <w:w w:val="0"/>
          <w:sz w:val="24"/>
        </w:rPr>
        <w:fldChar w:fldCharType="begin"/>
      </w:r>
      <w:r>
        <w:rPr>
          <w:rFonts w:eastAsia="楷体_GB2312"/>
          <w:color w:val="000000"/>
          <w:w w:val="0"/>
          <w:sz w:val="24"/>
        </w:rPr>
        <w:instrText xml:space="preserve"> REF _Ref373951204 \r \h  \* MERGEFORMAT </w:instrText>
      </w:r>
      <w:r>
        <w:rPr>
          <w:rFonts w:eastAsia="楷体_GB2312"/>
          <w:color w:val="000000"/>
          <w:w w:val="0"/>
          <w:sz w:val="24"/>
        </w:rPr>
        <w:fldChar w:fldCharType="separate"/>
      </w:r>
      <w:r>
        <w:rPr>
          <w:rFonts w:eastAsia="楷体_GB2312"/>
          <w:color w:val="000000"/>
          <w:w w:val="0"/>
          <w:sz w:val="24"/>
        </w:rPr>
        <w:t>12</w:t>
      </w:r>
      <w:r>
        <w:rPr>
          <w:rFonts w:eastAsia="楷体_GB2312"/>
          <w:color w:val="000000"/>
          <w:w w:val="0"/>
          <w:sz w:val="24"/>
        </w:rPr>
        <w:fldChar w:fldCharType="end"/>
      </w:r>
      <w:r>
        <w:rPr>
          <w:rFonts w:eastAsia="楷体_GB2312"/>
          <w:color w:val="000000"/>
          <w:w w:val="0"/>
          <w:sz w:val="24"/>
        </w:rPr>
        <w:t>条约定的“赎回”条款“赎回”相关“不合格信贷资产”并支付“赎回价格”及履行“赎回”条款项下的相关手续；(3)在与“受托人”协商确定的延长期限内办理完成转移登记手续；(4)双方届时商定的其他方式。如果“委托人”在合理期限内未作出选择，则“受托人”有权决定并书面通知“委托人”要求“委托人”采取上述补救措施(1)、(2)或(3)，“委托人”应根据“受托人”书面通知载明的期限和内容履行相应的补救义务。如果“委托人”选择上述补救措施(1)，则“受托人”应在直接损失发生之日起【】个“工作日”内书面通知“委托人”直接损失的金额，如“委托人”与“受托人”在直接损失发生之日起【】个“工作日”内无法就直接损失的金额达成一致的，则“受托人”有权要求“委托人”采取上述补救措施(2)。</w:t>
      </w:r>
    </w:p>
    <w:p w14:paraId="5FD88081">
      <w:pPr>
        <w:tabs>
          <w:tab w:val="left" w:pos="900"/>
          <w:tab w:val="left" w:pos="1571"/>
        </w:tabs>
        <w:spacing w:line="380" w:lineRule="atLeast"/>
        <w:ind w:left="1620"/>
        <w:rPr>
          <w:rFonts w:eastAsia="楷体_GB2312"/>
          <w:color w:val="000000"/>
          <w:w w:val="0"/>
          <w:sz w:val="24"/>
        </w:rPr>
      </w:pPr>
    </w:p>
    <w:p w14:paraId="0FC6BD9E">
      <w:pPr>
        <w:tabs>
          <w:tab w:val="left" w:pos="425"/>
          <w:tab w:val="left" w:pos="900"/>
          <w:tab w:val="left" w:pos="1571"/>
        </w:tabs>
        <w:spacing w:line="380" w:lineRule="atLeast"/>
        <w:ind w:left="1620"/>
        <w:rPr>
          <w:rFonts w:eastAsia="楷体_GB2312"/>
          <w:color w:val="000000"/>
          <w:w w:val="0"/>
          <w:sz w:val="24"/>
        </w:rPr>
      </w:pPr>
      <w:r>
        <w:rPr>
          <w:rFonts w:eastAsia="楷体_GB2312"/>
          <w:color w:val="000000"/>
          <w:w w:val="0"/>
          <w:sz w:val="24"/>
        </w:rPr>
        <w:t>在“抵押权”、“质权”转移登记至“受托人”名下之前，或“委托人”将其持有的“质押财产”（如有）和/或“质押财产”的权利凭证（如有）交付给“受托人”之前，如出现善意第三人对前述“抵押物”或“质押财产”主张权利，导致“受托人”所享有的“抵押权”或“质权”无法对抗善意第三人的，则</w:t>
      </w:r>
      <w:r>
        <w:rPr>
          <w:rFonts w:eastAsia="楷体_GB2312"/>
          <w:sz w:val="24"/>
        </w:rPr>
        <w:t>“委托人”</w:t>
      </w:r>
      <w:r>
        <w:rPr>
          <w:rFonts w:eastAsia="楷体_GB2312"/>
          <w:color w:val="000000"/>
          <w:w w:val="0"/>
          <w:sz w:val="24"/>
        </w:rPr>
        <w:t>应根据本合同第</w:t>
      </w:r>
      <w:r>
        <w:rPr>
          <w:rFonts w:eastAsia="楷体_GB2312"/>
        </w:rPr>
        <w:fldChar w:fldCharType="begin"/>
      </w:r>
      <w:r>
        <w:rPr>
          <w:rFonts w:eastAsia="楷体_GB2312"/>
        </w:rPr>
        <w:instrText xml:space="preserve"> REF _Ref373951204 \r \h  \* MERGEFORMAT </w:instrText>
      </w:r>
      <w:r>
        <w:rPr>
          <w:rFonts w:eastAsia="楷体_GB2312"/>
        </w:rPr>
        <w:fldChar w:fldCharType="separate"/>
      </w:r>
      <w:r>
        <w:rPr>
          <w:rFonts w:eastAsia="楷体_GB2312"/>
          <w:color w:val="000000"/>
          <w:w w:val="0"/>
          <w:sz w:val="24"/>
        </w:rPr>
        <w:t>12</w:t>
      </w:r>
      <w:r>
        <w:rPr>
          <w:rFonts w:eastAsia="楷体_GB2312"/>
        </w:rPr>
        <w:fldChar w:fldCharType="end"/>
      </w:r>
      <w:r>
        <w:rPr>
          <w:rFonts w:eastAsia="楷体_GB2312"/>
          <w:color w:val="000000"/>
          <w:w w:val="0"/>
          <w:sz w:val="24"/>
        </w:rPr>
        <w:t>条的约定将该等“信贷资产”作为“不合格信贷资产”予以“赎回”。</w:t>
      </w:r>
      <w:bookmarkEnd w:id="89"/>
    </w:p>
    <w:p w14:paraId="56650753">
      <w:pPr>
        <w:tabs>
          <w:tab w:val="left" w:pos="425"/>
          <w:tab w:val="left" w:pos="900"/>
          <w:tab w:val="left" w:pos="1571"/>
        </w:tabs>
        <w:spacing w:line="380" w:lineRule="atLeast"/>
        <w:ind w:left="1620"/>
        <w:rPr>
          <w:rFonts w:eastAsia="楷体_GB2312"/>
          <w:b/>
          <w:bCs/>
          <w:i/>
          <w:iCs/>
          <w:color w:val="FF0000"/>
          <w:w w:val="0"/>
          <w:sz w:val="24"/>
        </w:rPr>
      </w:pPr>
      <w:r>
        <w:rPr>
          <w:rFonts w:hint="eastAsia" w:eastAsia="楷体_GB2312"/>
          <w:b/>
          <w:bCs/>
          <w:i/>
          <w:iCs/>
          <w:color w:val="FF0000"/>
          <w:w w:val="0"/>
          <w:sz w:val="24"/>
        </w:rPr>
        <w:t>【注：本款内容</w:t>
      </w:r>
      <w:r>
        <w:rPr>
          <w:rFonts w:eastAsia="楷体_GB2312"/>
          <w:b/>
          <w:i/>
          <w:iCs/>
          <w:snapToGrid w:val="0"/>
          <w:color w:val="FF0000"/>
          <w:kern w:val="28"/>
          <w:sz w:val="24"/>
        </w:rPr>
        <w:t>可根据项目具体安排调整</w:t>
      </w:r>
      <w:r>
        <w:rPr>
          <w:rFonts w:hint="eastAsia" w:eastAsia="楷体_GB2312"/>
          <w:b/>
          <w:bCs/>
          <w:i/>
          <w:iCs/>
          <w:color w:val="FF0000"/>
          <w:w w:val="0"/>
          <w:sz w:val="24"/>
        </w:rPr>
        <w:t>。】</w:t>
      </w:r>
    </w:p>
    <w:p w14:paraId="7CD6EC71">
      <w:pPr>
        <w:pStyle w:val="78"/>
        <w:ind w:firstLine="480"/>
        <w:rPr>
          <w:rFonts w:eastAsia="楷体_GB2312"/>
          <w:color w:val="000000"/>
          <w:w w:val="0"/>
          <w:sz w:val="24"/>
        </w:rPr>
      </w:pPr>
    </w:p>
    <w:bookmarkEnd w:id="85"/>
    <w:bookmarkEnd w:id="90"/>
    <w:bookmarkEnd w:id="91"/>
    <w:p w14:paraId="5C399D77">
      <w:pPr>
        <w:numPr>
          <w:ilvl w:val="1"/>
          <w:numId w:val="4"/>
        </w:numPr>
        <w:tabs>
          <w:tab w:val="left" w:pos="900"/>
        </w:tabs>
        <w:spacing w:line="380" w:lineRule="atLeast"/>
        <w:outlineLvl w:val="1"/>
        <w:rPr>
          <w:rFonts w:eastAsia="楷体_GB2312"/>
          <w:b/>
          <w:sz w:val="24"/>
        </w:rPr>
      </w:pPr>
      <w:bookmarkStart w:id="94" w:name="_Ref331770629"/>
      <w:r>
        <w:rPr>
          <w:rFonts w:eastAsia="楷体_GB2312"/>
          <w:b/>
          <w:sz w:val="24"/>
        </w:rPr>
        <w:t>资产支持证券募集资金的支付</w:t>
      </w:r>
      <w:bookmarkEnd w:id="94"/>
    </w:p>
    <w:p w14:paraId="295AC628">
      <w:pPr>
        <w:spacing w:line="380" w:lineRule="atLeast"/>
        <w:rPr>
          <w:rFonts w:eastAsia="楷体_GB2312"/>
          <w:sz w:val="24"/>
        </w:rPr>
      </w:pPr>
    </w:p>
    <w:p w14:paraId="1A70C3E6">
      <w:pPr>
        <w:spacing w:line="380" w:lineRule="atLeast"/>
        <w:ind w:left="912" w:leftChars="456"/>
        <w:rPr>
          <w:rFonts w:eastAsia="楷体_GB2312"/>
          <w:sz w:val="24"/>
          <w:lang w:val="en-GB"/>
        </w:rPr>
      </w:pPr>
      <w:r>
        <w:rPr>
          <w:rFonts w:eastAsia="楷体_GB2312"/>
          <w:sz w:val="24"/>
        </w:rPr>
        <w:t>在“</w:t>
      </w:r>
      <w:r>
        <w:rPr>
          <w:rFonts w:eastAsia="楷体_GB2312"/>
          <w:sz w:val="24"/>
          <w:lang w:val="en-GB"/>
        </w:rPr>
        <w:t>委托人</w:t>
      </w:r>
      <w:r>
        <w:rPr>
          <w:rFonts w:eastAsia="楷体_GB2312"/>
          <w:sz w:val="24"/>
        </w:rPr>
        <w:t>”按照本合同第</w:t>
      </w:r>
      <w:r>
        <w:rPr>
          <w:rFonts w:eastAsia="楷体_GB2312"/>
          <w:sz w:val="24"/>
        </w:rPr>
        <w:fldChar w:fldCharType="begin"/>
      </w:r>
      <w:r>
        <w:rPr>
          <w:rFonts w:eastAsia="楷体_GB2312"/>
          <w:sz w:val="24"/>
        </w:rPr>
        <w:instrText xml:space="preserve"> REF _Ref51330570 \r \h </w:instrText>
      </w:r>
      <w:r>
        <w:rPr>
          <w:rFonts w:eastAsia="楷体_GB2312"/>
          <w:sz w:val="24"/>
        </w:rPr>
        <w:fldChar w:fldCharType="separate"/>
      </w:r>
      <w:r>
        <w:rPr>
          <w:rFonts w:eastAsia="楷体_GB2312"/>
          <w:sz w:val="24"/>
        </w:rPr>
        <w:t>3.9</w:t>
      </w:r>
      <w:r>
        <w:rPr>
          <w:rFonts w:eastAsia="楷体_GB2312"/>
          <w:sz w:val="24"/>
        </w:rPr>
        <w:fldChar w:fldCharType="end"/>
      </w:r>
      <w:r>
        <w:rPr>
          <w:rFonts w:eastAsia="楷体_GB2312"/>
          <w:sz w:val="24"/>
        </w:rPr>
        <w:t>款的约定交付全部“信托财产”的情况下，“</w:t>
      </w:r>
      <w:r>
        <w:rPr>
          <w:rFonts w:eastAsia="楷体_GB2312"/>
          <w:sz w:val="24"/>
          <w:lang w:val="en-GB"/>
        </w:rPr>
        <w:t>受托人</w:t>
      </w:r>
      <w:r>
        <w:rPr>
          <w:rFonts w:eastAsia="楷体_GB2312"/>
          <w:sz w:val="24"/>
        </w:rPr>
        <w:t>”</w:t>
      </w:r>
      <w:r>
        <w:rPr>
          <w:rFonts w:eastAsia="楷体_GB2312"/>
          <w:sz w:val="24"/>
          <w:lang w:val="en-GB"/>
        </w:rPr>
        <w:t>应不迟于</w:t>
      </w:r>
      <w:r>
        <w:rPr>
          <w:rFonts w:eastAsia="楷体_GB2312"/>
          <w:sz w:val="24"/>
        </w:rPr>
        <w:t>“</w:t>
      </w:r>
      <w:r>
        <w:rPr>
          <w:rFonts w:eastAsia="楷体_GB2312"/>
          <w:sz w:val="24"/>
          <w:lang w:val="en-GB"/>
        </w:rPr>
        <w:t>信托财产交付日”【</w:t>
      </w:r>
      <w:r>
        <w:rPr>
          <w:rFonts w:eastAsia="楷体_GB2312"/>
          <w:i/>
          <w:iCs/>
          <w:sz w:val="24"/>
          <w:lang w:val="en-GB"/>
        </w:rPr>
        <w:t>具体时点</w:t>
      </w:r>
      <w:r>
        <w:rPr>
          <w:rFonts w:eastAsia="楷体_GB2312"/>
          <w:sz w:val="24"/>
          <w:lang w:val="en-GB"/>
        </w:rPr>
        <w:t>】，将</w:t>
      </w:r>
      <w:r>
        <w:rPr>
          <w:rFonts w:eastAsia="楷体_GB2312"/>
          <w:sz w:val="24"/>
        </w:rPr>
        <w:t>“</w:t>
      </w:r>
      <w:r>
        <w:rPr>
          <w:rFonts w:eastAsia="楷体_GB2312"/>
          <w:sz w:val="24"/>
          <w:lang w:val="en-GB"/>
        </w:rPr>
        <w:t>资产支持证券募集资金</w:t>
      </w:r>
      <w:r>
        <w:rPr>
          <w:rFonts w:eastAsia="楷体_GB2312"/>
          <w:sz w:val="24"/>
        </w:rPr>
        <w:t>”</w:t>
      </w:r>
      <w:r>
        <w:rPr>
          <w:rFonts w:eastAsia="楷体_GB2312"/>
          <w:sz w:val="24"/>
          <w:lang w:val="en-GB"/>
        </w:rPr>
        <w:t>支付至</w:t>
      </w:r>
      <w:r>
        <w:rPr>
          <w:rFonts w:eastAsia="楷体_GB2312"/>
          <w:sz w:val="24"/>
        </w:rPr>
        <w:t>“</w:t>
      </w:r>
      <w:r>
        <w:rPr>
          <w:rFonts w:eastAsia="楷体_GB2312"/>
          <w:sz w:val="24"/>
          <w:lang w:val="en-GB"/>
        </w:rPr>
        <w:t>委托人</w:t>
      </w:r>
      <w:r>
        <w:rPr>
          <w:rFonts w:eastAsia="楷体_GB2312"/>
          <w:sz w:val="24"/>
        </w:rPr>
        <w:t>”</w:t>
      </w:r>
      <w:r>
        <w:rPr>
          <w:rFonts w:eastAsia="楷体_GB2312"/>
          <w:sz w:val="24"/>
          <w:lang w:val="en-GB"/>
        </w:rPr>
        <w:t>指定账户。</w:t>
      </w:r>
    </w:p>
    <w:p w14:paraId="73182073">
      <w:pPr>
        <w:spacing w:line="380" w:lineRule="atLeast"/>
        <w:ind w:left="912" w:leftChars="456"/>
        <w:rPr>
          <w:rFonts w:eastAsia="楷体_GB2312"/>
          <w:sz w:val="24"/>
          <w:lang w:val="en-GB"/>
        </w:rPr>
      </w:pPr>
    </w:p>
    <w:p w14:paraId="7FA1CA11">
      <w:pPr>
        <w:spacing w:line="380" w:lineRule="atLeast"/>
        <w:ind w:left="912" w:leftChars="456"/>
        <w:rPr>
          <w:rFonts w:eastAsia="楷体_GB2312"/>
          <w:sz w:val="24"/>
          <w:lang w:val="en-GB"/>
        </w:rPr>
      </w:pPr>
      <w:r>
        <w:rPr>
          <w:rFonts w:eastAsia="楷体_GB2312"/>
          <w:sz w:val="24"/>
        </w:rPr>
        <w:t>“</w:t>
      </w:r>
      <w:r>
        <w:rPr>
          <w:rFonts w:eastAsia="楷体_GB2312"/>
          <w:sz w:val="24"/>
          <w:lang w:val="en-GB"/>
        </w:rPr>
        <w:t>委托人</w:t>
      </w:r>
      <w:r>
        <w:rPr>
          <w:rFonts w:eastAsia="楷体_GB2312"/>
          <w:sz w:val="24"/>
        </w:rPr>
        <w:t>”</w:t>
      </w:r>
      <w:r>
        <w:rPr>
          <w:rFonts w:eastAsia="楷体_GB2312"/>
          <w:sz w:val="24"/>
          <w:lang w:val="en-GB"/>
        </w:rPr>
        <w:t>的指定账户为：</w:t>
      </w:r>
    </w:p>
    <w:p w14:paraId="7CD1FCC3">
      <w:pPr>
        <w:spacing w:line="380" w:lineRule="atLeast"/>
        <w:ind w:left="912" w:leftChars="456"/>
        <w:rPr>
          <w:rFonts w:eastAsia="楷体_GB2312"/>
          <w:color w:val="000000"/>
          <w:sz w:val="24"/>
        </w:rPr>
      </w:pPr>
      <w:r>
        <w:rPr>
          <w:rFonts w:eastAsia="楷体_GB2312"/>
          <w:color w:val="000000"/>
          <w:sz w:val="24"/>
        </w:rPr>
        <w:t>开户行：【】</w:t>
      </w:r>
    </w:p>
    <w:p w14:paraId="1EDAB828">
      <w:pPr>
        <w:spacing w:line="380" w:lineRule="atLeast"/>
        <w:ind w:left="912" w:leftChars="456"/>
        <w:rPr>
          <w:rFonts w:eastAsia="楷体_GB2312"/>
          <w:color w:val="000000"/>
          <w:sz w:val="24"/>
        </w:rPr>
      </w:pPr>
      <w:r>
        <w:rPr>
          <w:rFonts w:eastAsia="楷体_GB2312"/>
          <w:color w:val="000000"/>
          <w:sz w:val="24"/>
        </w:rPr>
        <w:t>户名：【】</w:t>
      </w:r>
    </w:p>
    <w:p w14:paraId="47D79EFD">
      <w:pPr>
        <w:spacing w:line="380" w:lineRule="atLeast"/>
        <w:ind w:left="912" w:leftChars="456"/>
        <w:rPr>
          <w:rFonts w:eastAsia="楷体_GB2312"/>
          <w:sz w:val="24"/>
          <w:lang w:val="en-GB"/>
        </w:rPr>
      </w:pPr>
      <w:r>
        <w:rPr>
          <w:rFonts w:eastAsia="楷体_GB2312"/>
          <w:color w:val="000000"/>
          <w:sz w:val="24"/>
        </w:rPr>
        <w:t>账号：【</w:t>
      </w:r>
      <w:r>
        <w:rPr>
          <w:rFonts w:eastAsia="楷体_GB2312"/>
          <w:sz w:val="24"/>
          <w:lang w:val="en-GB"/>
        </w:rPr>
        <w:t>】</w:t>
      </w:r>
    </w:p>
    <w:p w14:paraId="35FB1C30">
      <w:pPr>
        <w:spacing w:line="380" w:lineRule="atLeast"/>
        <w:ind w:left="912" w:leftChars="456"/>
        <w:rPr>
          <w:rFonts w:eastAsia="楷体_GB2312"/>
          <w:color w:val="000000"/>
          <w:sz w:val="24"/>
        </w:rPr>
      </w:pPr>
      <w:r>
        <w:rPr>
          <w:rFonts w:eastAsia="楷体_GB2312"/>
          <w:color w:val="000000"/>
          <w:sz w:val="24"/>
        </w:rPr>
        <w:t>中国人民银行支付系统号：【】</w:t>
      </w:r>
    </w:p>
    <w:p w14:paraId="7D7533D4">
      <w:pPr>
        <w:tabs>
          <w:tab w:val="left" w:pos="1277"/>
        </w:tabs>
        <w:spacing w:line="380" w:lineRule="atLeast"/>
        <w:ind w:left="992"/>
        <w:rPr>
          <w:rFonts w:eastAsia="楷体_GB2312"/>
          <w:sz w:val="24"/>
        </w:rPr>
      </w:pPr>
    </w:p>
    <w:p w14:paraId="1452366B">
      <w:pPr>
        <w:numPr>
          <w:ilvl w:val="1"/>
          <w:numId w:val="4"/>
        </w:numPr>
        <w:tabs>
          <w:tab w:val="left" w:pos="900"/>
        </w:tabs>
        <w:spacing w:line="380" w:lineRule="atLeast"/>
        <w:outlineLvl w:val="1"/>
        <w:rPr>
          <w:rFonts w:eastAsia="楷体_GB2312"/>
          <w:b/>
          <w:color w:val="000000"/>
          <w:w w:val="0"/>
          <w:sz w:val="24"/>
        </w:rPr>
      </w:pPr>
      <w:r>
        <w:rPr>
          <w:rFonts w:eastAsia="楷体_GB2312"/>
          <w:b/>
          <w:color w:val="000000"/>
          <w:w w:val="0"/>
          <w:sz w:val="24"/>
        </w:rPr>
        <w:t>发起机构自持的资产支持证券的交付</w:t>
      </w:r>
    </w:p>
    <w:p w14:paraId="30FE57A7">
      <w:pPr>
        <w:spacing w:line="380" w:lineRule="atLeast"/>
        <w:ind w:left="1418"/>
        <w:rPr>
          <w:rFonts w:eastAsia="楷体_GB2312"/>
          <w:color w:val="000000"/>
          <w:w w:val="0"/>
          <w:sz w:val="24"/>
        </w:rPr>
      </w:pPr>
    </w:p>
    <w:p w14:paraId="28755EA9">
      <w:pPr>
        <w:spacing w:line="380" w:lineRule="atLeast"/>
        <w:ind w:left="912" w:leftChars="456"/>
        <w:rPr>
          <w:rFonts w:eastAsia="楷体_GB2312"/>
          <w:sz w:val="24"/>
        </w:rPr>
      </w:pPr>
      <w:r>
        <w:rPr>
          <w:rFonts w:eastAsia="楷体_GB2312"/>
          <w:sz w:val="24"/>
        </w:rPr>
        <w:t>“受托机构”应不迟于“信托财产交付日”，按照“登记托管机构”的规则将“发起机构”自持的“资产支持证券”（“发起机构”自持比例不低于【“优先A档资产支持证券”、“优先B档资产支持证券”及“次级资产支持证券”各档】发行规模的5%，具体自持金额以“</w:t>
      </w:r>
      <w:r>
        <w:rPr>
          <w:rFonts w:eastAsia="楷体_GB2312"/>
          <w:bCs/>
          <w:sz w:val="24"/>
        </w:rPr>
        <w:t>发行文件”公告为准</w:t>
      </w:r>
      <w:r>
        <w:rPr>
          <w:rFonts w:eastAsia="楷体_GB2312"/>
          <w:sz w:val="24"/>
        </w:rPr>
        <w:t>）交付给“发起机构”。</w:t>
      </w:r>
    </w:p>
    <w:p w14:paraId="39BD4DB1">
      <w:pPr>
        <w:tabs>
          <w:tab w:val="left" w:pos="1277"/>
        </w:tabs>
        <w:spacing w:line="380" w:lineRule="atLeast"/>
        <w:ind w:left="992"/>
        <w:rPr>
          <w:rFonts w:eastAsia="楷体_GB2312"/>
          <w:b/>
          <w:i/>
          <w:iCs/>
          <w:snapToGrid w:val="0"/>
          <w:color w:val="FF0000"/>
          <w:kern w:val="28"/>
          <w:sz w:val="24"/>
        </w:rPr>
      </w:pPr>
      <w:r>
        <w:rPr>
          <w:rFonts w:eastAsia="楷体_GB2312"/>
          <w:b/>
          <w:i/>
          <w:iCs/>
          <w:snapToGrid w:val="0"/>
          <w:color w:val="FF0000"/>
          <w:kern w:val="28"/>
          <w:sz w:val="24"/>
        </w:rPr>
        <w:t>【注：发起机构自持方式、自持资产支持证券的交付可根据项目具体安排调整。】</w:t>
      </w:r>
    </w:p>
    <w:p w14:paraId="2E5A400A">
      <w:pPr>
        <w:tabs>
          <w:tab w:val="left" w:pos="992"/>
        </w:tabs>
        <w:spacing w:line="380" w:lineRule="atLeast"/>
        <w:ind w:left="992"/>
        <w:rPr>
          <w:rFonts w:eastAsia="楷体_GB2312"/>
          <w:b/>
          <w:sz w:val="24"/>
        </w:rPr>
      </w:pPr>
    </w:p>
    <w:p w14:paraId="57579713">
      <w:pPr>
        <w:numPr>
          <w:ilvl w:val="1"/>
          <w:numId w:val="4"/>
        </w:numPr>
        <w:tabs>
          <w:tab w:val="left" w:pos="900"/>
        </w:tabs>
        <w:spacing w:line="380" w:lineRule="atLeast"/>
        <w:outlineLvl w:val="1"/>
        <w:rPr>
          <w:rFonts w:eastAsia="楷体_GB2312"/>
          <w:b/>
          <w:sz w:val="24"/>
        </w:rPr>
      </w:pPr>
      <w:r>
        <w:rPr>
          <w:rFonts w:eastAsia="楷体_GB2312"/>
          <w:b/>
          <w:sz w:val="24"/>
        </w:rPr>
        <w:t>信托设立公告和权利完善措施</w:t>
      </w:r>
    </w:p>
    <w:p w14:paraId="564B8CC4">
      <w:pPr>
        <w:tabs>
          <w:tab w:val="left" w:pos="900"/>
        </w:tabs>
        <w:spacing w:line="380" w:lineRule="atLeast"/>
        <w:rPr>
          <w:rFonts w:eastAsia="楷体_GB2312"/>
          <w:b/>
          <w:sz w:val="24"/>
        </w:rPr>
      </w:pPr>
    </w:p>
    <w:p w14:paraId="2B642561">
      <w:pPr>
        <w:numPr>
          <w:ilvl w:val="2"/>
          <w:numId w:val="4"/>
        </w:numPr>
        <w:tabs>
          <w:tab w:val="left" w:pos="900"/>
        </w:tabs>
        <w:spacing w:line="380" w:lineRule="atLeast"/>
        <w:ind w:left="1620" w:hanging="769"/>
        <w:rPr>
          <w:rFonts w:eastAsia="楷体_GB2312"/>
          <w:b/>
          <w:sz w:val="24"/>
        </w:rPr>
      </w:pPr>
      <w:r>
        <w:rPr>
          <w:rFonts w:eastAsia="楷体_GB2312"/>
          <w:b/>
          <w:sz w:val="24"/>
        </w:rPr>
        <w:t>信托设立的公告</w:t>
      </w:r>
    </w:p>
    <w:p w14:paraId="3BFABC7A">
      <w:pPr>
        <w:tabs>
          <w:tab w:val="left" w:pos="900"/>
        </w:tabs>
        <w:spacing w:line="380" w:lineRule="atLeast"/>
        <w:rPr>
          <w:rFonts w:eastAsia="楷体_GB2312"/>
          <w:b/>
          <w:sz w:val="24"/>
        </w:rPr>
      </w:pPr>
    </w:p>
    <w:p w14:paraId="1D1D5DAD">
      <w:pPr>
        <w:pStyle w:val="78"/>
        <w:numPr>
          <w:ilvl w:val="0"/>
          <w:numId w:val="7"/>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“委托人”应在“信托财产交付日”前</w:t>
      </w:r>
      <w:r>
        <w:rPr>
          <w:rFonts w:eastAsia="楷体_GB2312"/>
          <w:color w:val="000000"/>
          <w:sz w:val="24"/>
        </w:rPr>
        <w:t>在全国性媒体上发布公告，将设立</w:t>
      </w:r>
      <w:r>
        <w:rPr>
          <w:rFonts w:eastAsia="楷体_GB2312"/>
          <w:sz w:val="24"/>
        </w:rPr>
        <w:t>“</w:t>
      </w:r>
      <w:r>
        <w:rPr>
          <w:rFonts w:eastAsia="楷体_GB2312"/>
          <w:color w:val="000000"/>
          <w:sz w:val="24"/>
        </w:rPr>
        <w:t>信托</w:t>
      </w:r>
      <w:r>
        <w:rPr>
          <w:rFonts w:eastAsia="楷体_GB2312"/>
          <w:sz w:val="24"/>
        </w:rPr>
        <w:t>”</w:t>
      </w:r>
      <w:r>
        <w:rPr>
          <w:rFonts w:eastAsia="楷体_GB2312"/>
          <w:color w:val="000000"/>
          <w:sz w:val="24"/>
        </w:rPr>
        <w:t>之事宜（包括但不限于</w:t>
      </w:r>
      <w:r>
        <w:rPr>
          <w:rFonts w:eastAsia="楷体_GB2312"/>
          <w:sz w:val="24"/>
        </w:rPr>
        <w:t>“信贷资产”</w:t>
      </w:r>
      <w:r>
        <w:rPr>
          <w:rFonts w:eastAsia="楷体_GB2312"/>
          <w:color w:val="000000"/>
          <w:sz w:val="24"/>
        </w:rPr>
        <w:t>设立</w:t>
      </w:r>
      <w:r>
        <w:rPr>
          <w:rFonts w:eastAsia="楷体_GB2312"/>
          <w:sz w:val="24"/>
        </w:rPr>
        <w:t>“</w:t>
      </w:r>
      <w:r>
        <w:rPr>
          <w:rFonts w:eastAsia="楷体_GB2312"/>
          <w:color w:val="000000"/>
          <w:sz w:val="24"/>
        </w:rPr>
        <w:t>信托</w:t>
      </w:r>
      <w:r>
        <w:rPr>
          <w:rFonts w:eastAsia="楷体_GB2312"/>
          <w:sz w:val="24"/>
        </w:rPr>
        <w:t>”</w:t>
      </w:r>
      <w:r>
        <w:rPr>
          <w:rFonts w:eastAsia="楷体_GB2312"/>
          <w:color w:val="000000"/>
          <w:sz w:val="24"/>
        </w:rPr>
        <w:t>的交易），予以公布，</w:t>
      </w:r>
      <w:r>
        <w:rPr>
          <w:rFonts w:eastAsia="楷体_GB2312"/>
          <w:sz w:val="24"/>
        </w:rPr>
        <w:t>告知</w:t>
      </w:r>
      <w:r>
        <w:rPr>
          <w:rFonts w:eastAsia="楷体_GB2312"/>
          <w:color w:val="000000"/>
          <w:sz w:val="24"/>
        </w:rPr>
        <w:t>相关权利人</w:t>
      </w:r>
      <w:r>
        <w:rPr>
          <w:rFonts w:eastAsia="楷体_GB2312"/>
          <w:sz w:val="24"/>
        </w:rPr>
        <w:t>。</w:t>
      </w:r>
    </w:p>
    <w:p w14:paraId="0A9F8906">
      <w:pPr>
        <w:tabs>
          <w:tab w:val="left" w:pos="900"/>
          <w:tab w:val="left" w:pos="2356"/>
        </w:tabs>
        <w:spacing w:line="380" w:lineRule="atLeast"/>
        <w:rPr>
          <w:rFonts w:eastAsia="楷体_GB2312"/>
          <w:b/>
          <w:sz w:val="24"/>
        </w:rPr>
      </w:pPr>
    </w:p>
    <w:p w14:paraId="2558501F">
      <w:pPr>
        <w:pStyle w:val="78"/>
        <w:numPr>
          <w:ilvl w:val="0"/>
          <w:numId w:val="7"/>
        </w:numPr>
        <w:tabs>
          <w:tab w:val="left" w:pos="425"/>
          <w:tab w:val="left" w:pos="900"/>
          <w:tab w:val="left" w:pos="1571"/>
        </w:tabs>
        <w:spacing w:line="380" w:lineRule="atLeast"/>
        <w:ind w:left="2127" w:hanging="426" w:firstLineChars="0"/>
        <w:rPr>
          <w:rFonts w:eastAsia="楷体_GB2312"/>
          <w:color w:val="000000"/>
          <w:sz w:val="24"/>
        </w:rPr>
      </w:pPr>
      <w:r>
        <w:rPr>
          <w:rFonts w:eastAsia="楷体_GB2312"/>
          <w:sz w:val="24"/>
        </w:rPr>
        <w:t>“信托”设立的公</w:t>
      </w:r>
      <w:r>
        <w:rPr>
          <w:rFonts w:eastAsia="楷体_GB2312"/>
          <w:color w:val="000000"/>
          <w:sz w:val="24"/>
        </w:rPr>
        <w:t>告费用由“委托人”承担。</w:t>
      </w:r>
    </w:p>
    <w:p w14:paraId="48067DCB">
      <w:pPr>
        <w:tabs>
          <w:tab w:val="left" w:pos="425"/>
          <w:tab w:val="left" w:pos="900"/>
          <w:tab w:val="left" w:pos="1571"/>
        </w:tabs>
        <w:spacing w:line="380" w:lineRule="atLeast"/>
        <w:ind w:left="1620"/>
        <w:rPr>
          <w:rFonts w:eastAsia="楷体_GB2312"/>
          <w:b/>
          <w:i/>
          <w:iCs/>
          <w:snapToGrid w:val="0"/>
          <w:color w:val="FF0000"/>
          <w:kern w:val="28"/>
          <w:sz w:val="24"/>
        </w:rPr>
      </w:pPr>
      <w:r>
        <w:rPr>
          <w:rFonts w:eastAsia="楷体_GB2312"/>
          <w:b/>
          <w:i/>
          <w:iCs/>
          <w:snapToGrid w:val="0"/>
          <w:color w:val="FF0000"/>
          <w:kern w:val="28"/>
          <w:sz w:val="24"/>
        </w:rPr>
        <w:t>【注：“信托”设立的公告费用的承担方式，可根据项目实际情况进行调整。】</w:t>
      </w:r>
    </w:p>
    <w:p w14:paraId="3C14A7FE">
      <w:pPr>
        <w:tabs>
          <w:tab w:val="left" w:pos="900"/>
        </w:tabs>
        <w:spacing w:line="380" w:lineRule="atLeast"/>
        <w:rPr>
          <w:rFonts w:eastAsia="楷体_GB2312"/>
          <w:color w:val="000000"/>
          <w:sz w:val="24"/>
        </w:rPr>
      </w:pPr>
    </w:p>
    <w:p w14:paraId="7F7D8D8B">
      <w:pPr>
        <w:numPr>
          <w:ilvl w:val="2"/>
          <w:numId w:val="4"/>
        </w:numPr>
        <w:tabs>
          <w:tab w:val="left" w:pos="900"/>
        </w:tabs>
        <w:spacing w:line="380" w:lineRule="atLeast"/>
        <w:ind w:left="1620" w:hanging="769"/>
        <w:rPr>
          <w:rFonts w:eastAsia="楷体_GB2312"/>
          <w:b/>
          <w:sz w:val="24"/>
        </w:rPr>
      </w:pPr>
      <w:bookmarkStart w:id="95" w:name="_Ref331768865"/>
      <w:bookmarkStart w:id="96" w:name="_Ref122964530"/>
      <w:r>
        <w:rPr>
          <w:rFonts w:eastAsia="楷体_GB2312"/>
          <w:b/>
          <w:sz w:val="24"/>
        </w:rPr>
        <w:t>委托人发送权利完善通知</w:t>
      </w:r>
      <w:bookmarkEnd w:id="95"/>
      <w:bookmarkEnd w:id="96"/>
    </w:p>
    <w:p w14:paraId="0EABF846">
      <w:pPr>
        <w:tabs>
          <w:tab w:val="left" w:pos="900"/>
        </w:tabs>
        <w:spacing w:line="380" w:lineRule="atLeast"/>
        <w:rPr>
          <w:rFonts w:eastAsia="楷体_GB2312"/>
          <w:b/>
          <w:sz w:val="24"/>
        </w:rPr>
      </w:pPr>
    </w:p>
    <w:p w14:paraId="766042C2">
      <w:pPr>
        <w:pStyle w:val="78"/>
        <w:numPr>
          <w:ilvl w:val="0"/>
          <w:numId w:val="8"/>
        </w:numPr>
        <w:tabs>
          <w:tab w:val="left" w:pos="425"/>
          <w:tab w:val="left" w:pos="900"/>
          <w:tab w:val="left" w:pos="1571"/>
        </w:tabs>
        <w:spacing w:line="380" w:lineRule="atLeast"/>
        <w:ind w:left="2127" w:hanging="426" w:firstLineChars="0"/>
        <w:rPr>
          <w:rFonts w:eastAsia="楷体_GB2312"/>
          <w:sz w:val="24"/>
        </w:rPr>
      </w:pPr>
      <w:bookmarkStart w:id="97" w:name="_Ref57361617"/>
      <w:r>
        <w:rPr>
          <w:rFonts w:eastAsia="楷体_GB2312"/>
          <w:sz w:val="24"/>
        </w:rPr>
        <w:t>发生“权利完善事件”</w:t>
      </w:r>
      <w:r>
        <w:rPr>
          <w:rFonts w:hint="eastAsia" w:eastAsia="楷体_GB2312"/>
          <w:sz w:val="24"/>
        </w:rPr>
        <w:t>第(a)项或第(b)项</w:t>
      </w:r>
      <w:r>
        <w:rPr>
          <w:rFonts w:eastAsia="楷体_GB2312"/>
          <w:sz w:val="24"/>
        </w:rPr>
        <w:t>后的【】个“工作日”内，“委托人”应以挂号信或特快专递等方式发出如下“权利完善通知”（格式见本合同</w:t>
      </w:r>
      <w:r>
        <w:rPr>
          <w:rFonts w:eastAsia="楷体_GB2312"/>
          <w:i/>
          <w:iCs/>
          <w:sz w:val="24"/>
        </w:rPr>
        <w:t>【</w:t>
      </w:r>
      <w:r>
        <w:rPr>
          <w:rFonts w:eastAsia="楷体_GB2312"/>
          <w:b/>
          <w:i/>
          <w:sz w:val="24"/>
        </w:rPr>
        <w:t>附件三】</w:t>
      </w:r>
      <w:r>
        <w:rPr>
          <w:rFonts w:eastAsia="楷体_GB2312"/>
          <w:sz w:val="24"/>
        </w:rPr>
        <w:t>），并抄送给“受托人”：</w:t>
      </w:r>
      <w:bookmarkEnd w:id="97"/>
    </w:p>
    <w:p w14:paraId="65EE088E">
      <w:pPr>
        <w:tabs>
          <w:tab w:val="left" w:pos="900"/>
        </w:tabs>
        <w:spacing w:line="380" w:lineRule="exact"/>
        <w:rPr>
          <w:rFonts w:eastAsia="楷体_GB2312"/>
          <w:color w:val="0000FF"/>
          <w:sz w:val="24"/>
        </w:rPr>
      </w:pPr>
    </w:p>
    <w:p w14:paraId="77CB27FE">
      <w:pPr>
        <w:numPr>
          <w:ilvl w:val="0"/>
          <w:numId w:val="9"/>
        </w:numPr>
        <w:tabs>
          <w:tab w:val="clear" w:pos="2100"/>
        </w:tabs>
        <w:autoSpaceDE w:val="0"/>
        <w:autoSpaceDN w:val="0"/>
        <w:adjustRightInd w:val="0"/>
        <w:spacing w:line="380" w:lineRule="atLeast"/>
        <w:ind w:left="2552"/>
        <w:rPr>
          <w:rFonts w:eastAsia="楷体_GB2312"/>
          <w:sz w:val="24"/>
        </w:rPr>
      </w:pPr>
      <w:r>
        <w:rPr>
          <w:rFonts w:eastAsia="楷体_GB2312"/>
          <w:sz w:val="24"/>
        </w:rPr>
        <w:t>将相关“信贷资产”已设立或转入“信托”的事实，通知每一个“借款人”</w:t>
      </w:r>
      <w:bookmarkStart w:id="98" w:name="OLE_LINK28"/>
      <w:bookmarkStart w:id="99" w:name="OLE_LINK27"/>
      <w:r>
        <w:rPr>
          <w:rFonts w:eastAsia="楷体_GB2312"/>
          <w:sz w:val="24"/>
        </w:rPr>
        <w:t>、“担保人”（如有）</w:t>
      </w:r>
      <w:bookmarkEnd w:id="98"/>
      <w:bookmarkEnd w:id="99"/>
      <w:r>
        <w:rPr>
          <w:rFonts w:eastAsia="楷体_GB2312"/>
          <w:sz w:val="24"/>
        </w:rPr>
        <w:t>；以及</w:t>
      </w:r>
    </w:p>
    <w:p w14:paraId="47CA3781">
      <w:pPr>
        <w:autoSpaceDE w:val="0"/>
        <w:autoSpaceDN w:val="0"/>
        <w:adjustRightInd w:val="0"/>
        <w:spacing w:line="380" w:lineRule="atLeast"/>
        <w:rPr>
          <w:rFonts w:eastAsia="楷体_GB2312"/>
          <w:sz w:val="24"/>
        </w:rPr>
      </w:pPr>
    </w:p>
    <w:p w14:paraId="33C02FFF">
      <w:pPr>
        <w:numPr>
          <w:ilvl w:val="0"/>
          <w:numId w:val="9"/>
        </w:numPr>
        <w:tabs>
          <w:tab w:val="clear" w:pos="2100"/>
        </w:tabs>
        <w:autoSpaceDE w:val="0"/>
        <w:autoSpaceDN w:val="0"/>
        <w:adjustRightInd w:val="0"/>
        <w:spacing w:line="380" w:lineRule="atLeast"/>
        <w:ind w:left="2552"/>
        <w:rPr>
          <w:rFonts w:eastAsia="楷体_GB2312"/>
          <w:sz w:val="24"/>
        </w:rPr>
      </w:pPr>
      <w:r>
        <w:rPr>
          <w:rFonts w:eastAsia="楷体_GB2312"/>
          <w:sz w:val="24"/>
        </w:rPr>
        <w:t>告知“借款人”、“担保人”（如有）自收到“权利完善通知”之日起，将其应支付的款项支付至“信托账户”。</w:t>
      </w:r>
    </w:p>
    <w:p w14:paraId="6EFE2532">
      <w:pPr>
        <w:tabs>
          <w:tab w:val="left" w:pos="2100"/>
        </w:tabs>
        <w:autoSpaceDE w:val="0"/>
        <w:autoSpaceDN w:val="0"/>
        <w:adjustRightInd w:val="0"/>
        <w:spacing w:line="380" w:lineRule="atLeast"/>
        <w:ind w:left="2100"/>
        <w:rPr>
          <w:rFonts w:eastAsia="楷体_GB2312"/>
          <w:b/>
          <w:bCs/>
          <w:i/>
          <w:iCs/>
          <w:color w:val="FF0000"/>
          <w:sz w:val="24"/>
        </w:rPr>
      </w:pPr>
      <w:r>
        <w:rPr>
          <w:rFonts w:eastAsia="楷体_GB2312"/>
          <w:b/>
          <w:bCs/>
          <w:i/>
          <w:iCs/>
          <w:color w:val="FF0000"/>
          <w:sz w:val="24"/>
        </w:rPr>
        <w:t>【注：发生权利完善事件后通知中如不涉及转变回收款支付路径的，则可进行补充或调整。】</w:t>
      </w:r>
    </w:p>
    <w:p w14:paraId="26E5EE05">
      <w:pPr>
        <w:tabs>
          <w:tab w:val="left" w:pos="2100"/>
        </w:tabs>
        <w:autoSpaceDE w:val="0"/>
        <w:autoSpaceDN w:val="0"/>
        <w:adjustRightInd w:val="0"/>
        <w:spacing w:line="380" w:lineRule="atLeast"/>
        <w:ind w:left="2100"/>
        <w:rPr>
          <w:rFonts w:eastAsia="楷体_GB2312"/>
          <w:b/>
          <w:bCs/>
          <w:i/>
          <w:iCs/>
          <w:color w:val="FF0000"/>
          <w:sz w:val="24"/>
        </w:rPr>
      </w:pPr>
    </w:p>
    <w:p w14:paraId="5DE8FD39">
      <w:pPr>
        <w:pStyle w:val="78"/>
        <w:numPr>
          <w:ilvl w:val="0"/>
          <w:numId w:val="8"/>
        </w:numPr>
        <w:tabs>
          <w:tab w:val="left" w:pos="425"/>
          <w:tab w:val="left" w:pos="900"/>
          <w:tab w:val="left" w:pos="1571"/>
        </w:tabs>
        <w:spacing w:line="380" w:lineRule="atLeast"/>
        <w:ind w:left="2127" w:hanging="426" w:firstLineChars="0"/>
        <w:rPr>
          <w:rFonts w:eastAsia="楷体_GB2312"/>
          <w:color w:val="000000"/>
          <w:sz w:val="24"/>
        </w:rPr>
      </w:pPr>
      <w:r>
        <w:rPr>
          <w:rFonts w:eastAsia="楷体_GB2312"/>
          <w:color w:val="000000"/>
          <w:sz w:val="24"/>
        </w:rPr>
        <w:t>发生“权利完善事件”之(c)项或(d)项情形后的【】个“工作日”内，“委托人”应以挂号信的方式发出如下“权利完善通知”</w:t>
      </w:r>
      <w:r>
        <w:rPr>
          <w:rFonts w:eastAsia="楷体_GB2312"/>
          <w:sz w:val="24"/>
        </w:rPr>
        <w:t>（格式见本合同</w:t>
      </w:r>
      <w:r>
        <w:rPr>
          <w:rFonts w:eastAsia="楷体_GB2312"/>
          <w:i/>
          <w:iCs/>
          <w:sz w:val="24"/>
        </w:rPr>
        <w:t>【</w:t>
      </w:r>
      <w:r>
        <w:rPr>
          <w:rFonts w:eastAsia="楷体_GB2312"/>
          <w:b/>
          <w:i/>
          <w:sz w:val="24"/>
        </w:rPr>
        <w:t>附件三】</w:t>
      </w:r>
      <w:r>
        <w:rPr>
          <w:rFonts w:eastAsia="楷体_GB2312"/>
          <w:sz w:val="24"/>
        </w:rPr>
        <w:t>）</w:t>
      </w:r>
      <w:r>
        <w:rPr>
          <w:rFonts w:eastAsia="楷体_GB2312"/>
          <w:color w:val="000000"/>
          <w:sz w:val="24"/>
        </w:rPr>
        <w:t>，并抄送给“受托人”：将相关“资产池”已设立“信托”的事实，通知每一笔“</w:t>
      </w:r>
      <w:r>
        <w:rPr>
          <w:rFonts w:hint="eastAsia" w:eastAsia="楷体_GB2312"/>
          <w:color w:val="000000"/>
          <w:sz w:val="24"/>
        </w:rPr>
        <w:t>信贷</w:t>
      </w:r>
      <w:r>
        <w:rPr>
          <w:rFonts w:eastAsia="楷体_GB2312"/>
          <w:color w:val="000000"/>
          <w:sz w:val="24"/>
        </w:rPr>
        <w:t>资产”的“义务人”。当“委托人”担任“贷款服务机构时”，发生“权利完善事件”之(c)或(d)项情形的，则按本合同第</w:t>
      </w:r>
      <w:r>
        <w:rPr>
          <w:rFonts w:eastAsia="楷体_GB2312"/>
          <w:color w:val="000000"/>
          <w:sz w:val="24"/>
        </w:rPr>
        <w:fldChar w:fldCharType="begin"/>
      </w:r>
      <w:r>
        <w:rPr>
          <w:rFonts w:eastAsia="楷体_GB2312"/>
          <w:color w:val="000000"/>
          <w:sz w:val="24"/>
        </w:rPr>
        <w:instrText xml:space="preserve"> REF _Ref331768865 \r \h </w:instrText>
      </w:r>
      <w:r>
        <w:rPr>
          <w:rFonts w:eastAsia="楷体_GB2312"/>
          <w:color w:val="000000"/>
          <w:sz w:val="24"/>
        </w:rPr>
        <w:fldChar w:fldCharType="separate"/>
      </w:r>
      <w:r>
        <w:rPr>
          <w:rFonts w:eastAsia="楷体_GB2312"/>
          <w:color w:val="000000"/>
          <w:sz w:val="24"/>
        </w:rPr>
        <w:t>3.12.2</w:t>
      </w:r>
      <w:r>
        <w:rPr>
          <w:rFonts w:eastAsia="楷体_GB2312"/>
          <w:color w:val="000000"/>
          <w:sz w:val="24"/>
        </w:rPr>
        <w:fldChar w:fldCharType="end"/>
      </w:r>
      <w:r>
        <w:rPr>
          <w:rFonts w:hint="eastAsia" w:eastAsia="楷体_GB2312"/>
          <w:color w:val="000000"/>
          <w:sz w:val="24"/>
        </w:rPr>
        <w:t>款第</w:t>
      </w:r>
      <w:r>
        <w:rPr>
          <w:rFonts w:eastAsia="楷体_GB2312"/>
          <w:color w:val="000000"/>
          <w:sz w:val="24"/>
        </w:rPr>
        <w:fldChar w:fldCharType="begin"/>
      </w:r>
      <w:r>
        <w:rPr>
          <w:rFonts w:eastAsia="楷体_GB2312"/>
          <w:color w:val="000000"/>
          <w:sz w:val="24"/>
        </w:rPr>
        <w:instrText xml:space="preserve"> REF _Ref57361617 \r \h </w:instrText>
      </w:r>
      <w:r>
        <w:rPr>
          <w:rFonts w:eastAsia="楷体_GB2312"/>
          <w:color w:val="000000"/>
          <w:sz w:val="24"/>
        </w:rPr>
        <w:fldChar w:fldCharType="separate"/>
      </w:r>
      <w:r>
        <w:rPr>
          <w:rFonts w:eastAsia="楷体_GB2312"/>
          <w:color w:val="000000"/>
          <w:sz w:val="24"/>
        </w:rPr>
        <w:t>(1)</w:t>
      </w:r>
      <w:r>
        <w:rPr>
          <w:rFonts w:eastAsia="楷体_GB2312"/>
          <w:color w:val="000000"/>
          <w:sz w:val="24"/>
        </w:rPr>
        <w:fldChar w:fldCharType="end"/>
      </w:r>
      <w:r>
        <w:rPr>
          <w:rFonts w:hint="eastAsia" w:eastAsia="楷体_GB2312"/>
          <w:color w:val="000000"/>
          <w:sz w:val="24"/>
        </w:rPr>
        <w:t>项</w:t>
      </w:r>
      <w:r>
        <w:rPr>
          <w:rFonts w:eastAsia="楷体_GB2312"/>
          <w:color w:val="000000"/>
          <w:sz w:val="24"/>
        </w:rPr>
        <w:t>约定执行。</w:t>
      </w:r>
    </w:p>
    <w:p w14:paraId="4E475184">
      <w:pPr>
        <w:spacing w:line="380" w:lineRule="exact"/>
        <w:ind w:left="1680"/>
        <w:rPr>
          <w:rFonts w:eastAsia="楷体_GB2312"/>
          <w:sz w:val="24"/>
        </w:rPr>
      </w:pPr>
    </w:p>
    <w:p w14:paraId="210F1EAE">
      <w:pPr>
        <w:pStyle w:val="78"/>
        <w:numPr>
          <w:ilvl w:val="0"/>
          <w:numId w:val="8"/>
        </w:numPr>
        <w:tabs>
          <w:tab w:val="left" w:pos="425"/>
          <w:tab w:val="left" w:pos="900"/>
          <w:tab w:val="left" w:pos="1571"/>
        </w:tabs>
        <w:spacing w:line="380" w:lineRule="atLeast"/>
        <w:ind w:left="2127" w:hanging="426" w:firstLineChars="0"/>
        <w:rPr>
          <w:rFonts w:eastAsia="楷体_GB2312"/>
          <w:sz w:val="24"/>
        </w:rPr>
      </w:pPr>
      <w:bookmarkStart w:id="100" w:name="_Ref507689402"/>
      <w:r>
        <w:rPr>
          <w:rFonts w:eastAsia="楷体_GB2312"/>
          <w:sz w:val="24"/>
        </w:rPr>
        <w:t>除发生“权利完善事件”外：</w:t>
      </w:r>
    </w:p>
    <w:p w14:paraId="5C18B800">
      <w:pPr>
        <w:tabs>
          <w:tab w:val="left" w:pos="425"/>
          <w:tab w:val="left" w:pos="1985"/>
        </w:tabs>
        <w:spacing w:line="380" w:lineRule="exact"/>
        <w:ind w:left="1701"/>
        <w:rPr>
          <w:rFonts w:eastAsia="楷体_GB2312"/>
          <w:sz w:val="24"/>
        </w:rPr>
      </w:pPr>
    </w:p>
    <w:p w14:paraId="3B57BA15">
      <w:pPr>
        <w:numPr>
          <w:ilvl w:val="0"/>
          <w:numId w:val="10"/>
        </w:numPr>
        <w:tabs>
          <w:tab w:val="clear" w:pos="2100"/>
        </w:tabs>
        <w:autoSpaceDE w:val="0"/>
        <w:autoSpaceDN w:val="0"/>
        <w:adjustRightInd w:val="0"/>
        <w:spacing w:line="380" w:lineRule="atLeast"/>
        <w:ind w:left="2552"/>
        <w:rPr>
          <w:rFonts w:eastAsia="楷体_GB2312"/>
          <w:sz w:val="24"/>
        </w:rPr>
      </w:pPr>
      <w:r>
        <w:rPr>
          <w:rFonts w:eastAsia="楷体_GB2312"/>
          <w:sz w:val="24"/>
        </w:rPr>
        <w:t>“受托人”或“委托人”根据相关“中国法律”的规定和“</w:t>
      </w:r>
      <w:r>
        <w:rPr>
          <w:rFonts w:hint="eastAsia" w:eastAsia="楷体_GB2312"/>
          <w:sz w:val="24"/>
        </w:rPr>
        <w:t>信贷</w:t>
      </w:r>
      <w:r>
        <w:rPr>
          <w:rFonts w:eastAsia="楷体_GB2312"/>
          <w:sz w:val="24"/>
        </w:rPr>
        <w:t>资产”的届时状况和回收需要，有权要求“委托人”或“受托人”自行参照本合同第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w:t>
      </w:r>
      <w:r>
        <w:rPr>
          <w:rFonts w:hint="eastAsia" w:eastAsia="楷体_GB2312"/>
          <w:sz w:val="24"/>
        </w:rPr>
        <w:t>第(1)项</w:t>
      </w:r>
      <w:r>
        <w:rPr>
          <w:rFonts w:eastAsia="楷体_GB2312"/>
          <w:sz w:val="24"/>
        </w:rPr>
        <w:t>的约定向相应的“借款人”、“担保人”（如有）发送“权利完善通知”；</w:t>
      </w:r>
    </w:p>
    <w:p w14:paraId="2F8A888E">
      <w:pPr>
        <w:pStyle w:val="78"/>
        <w:tabs>
          <w:tab w:val="left" w:pos="425"/>
          <w:tab w:val="left" w:pos="1985"/>
        </w:tabs>
        <w:spacing w:line="380" w:lineRule="exact"/>
        <w:ind w:left="2061" w:firstLine="0" w:firstLineChars="0"/>
        <w:rPr>
          <w:rFonts w:eastAsia="楷体_GB2312"/>
          <w:sz w:val="24"/>
        </w:rPr>
      </w:pPr>
    </w:p>
    <w:p w14:paraId="70A569A7">
      <w:pPr>
        <w:numPr>
          <w:ilvl w:val="0"/>
          <w:numId w:val="10"/>
        </w:numPr>
        <w:tabs>
          <w:tab w:val="clear" w:pos="2100"/>
        </w:tabs>
        <w:autoSpaceDE w:val="0"/>
        <w:autoSpaceDN w:val="0"/>
        <w:adjustRightInd w:val="0"/>
        <w:spacing w:line="380" w:lineRule="atLeast"/>
        <w:ind w:left="2552"/>
        <w:rPr>
          <w:rFonts w:eastAsia="楷体_GB2312"/>
          <w:sz w:val="24"/>
        </w:rPr>
      </w:pPr>
      <w:r>
        <w:rPr>
          <w:rFonts w:eastAsia="楷体_GB2312"/>
          <w:sz w:val="24"/>
        </w:rPr>
        <w:t>在“贷款服务机构”回收“信贷资产”且在主张相关权利时，“贷款服务机构”的权利人地位受到质疑而无法实际行使相关权利时，“委托人”应根据“贷款服务机构”或“受托人”管理“信贷资产”的需要以挂号信或特快专递等方式仅向未履行义务的“借款人”、“担保人”（如有）发出“权利完善通知”，将“信贷资产”已设立或转入“信托”的事实，通知相关“借款人”、“担保人”（如有），并抄送给“受托人”</w:t>
      </w:r>
      <w:bookmarkEnd w:id="100"/>
      <w:r>
        <w:rPr>
          <w:rFonts w:eastAsia="楷体_GB2312"/>
          <w:color w:val="000000"/>
          <w:sz w:val="24"/>
        </w:rPr>
        <w:t>（格式参考本合同</w:t>
      </w:r>
      <w:r>
        <w:rPr>
          <w:rFonts w:eastAsia="楷体_GB2312"/>
          <w:i/>
          <w:iCs/>
          <w:sz w:val="24"/>
        </w:rPr>
        <w:t>【</w:t>
      </w:r>
      <w:r>
        <w:rPr>
          <w:rFonts w:eastAsia="楷体_GB2312"/>
          <w:b/>
          <w:i/>
          <w:sz w:val="24"/>
        </w:rPr>
        <w:t>附件三】</w:t>
      </w:r>
      <w:r>
        <w:rPr>
          <w:rFonts w:eastAsia="楷体_GB2312"/>
          <w:color w:val="000000"/>
          <w:sz w:val="24"/>
        </w:rPr>
        <w:t>，并可根据实际情况进行必要调整）</w:t>
      </w:r>
      <w:r>
        <w:rPr>
          <w:rFonts w:eastAsia="楷体_GB2312"/>
          <w:sz w:val="24"/>
        </w:rPr>
        <w:t>。</w:t>
      </w:r>
    </w:p>
    <w:p w14:paraId="14D3231B">
      <w:pPr>
        <w:tabs>
          <w:tab w:val="left" w:pos="900"/>
        </w:tabs>
        <w:spacing w:before="156" w:beforeLines="50" w:after="156" w:afterLines="50" w:line="360" w:lineRule="auto"/>
        <w:ind w:left="1620"/>
        <w:rPr>
          <w:rFonts w:eastAsia="楷体_GB2312"/>
          <w:b/>
          <w:bCs/>
          <w:i/>
          <w:iCs/>
          <w:color w:val="FF0000"/>
          <w:sz w:val="24"/>
        </w:rPr>
      </w:pPr>
      <w:r>
        <w:rPr>
          <w:rFonts w:eastAsia="楷体_GB2312"/>
          <w:b/>
          <w:bCs/>
          <w:i/>
          <w:iCs/>
          <w:color w:val="FF0000"/>
          <w:sz w:val="24"/>
        </w:rPr>
        <w:t>【注：</w:t>
      </w:r>
      <w:bookmarkStart w:id="101" w:name="_Hlk221450192"/>
      <w:r>
        <w:rPr>
          <w:rFonts w:eastAsia="楷体_GB2312"/>
          <w:b/>
          <w:bCs/>
          <w:i/>
          <w:iCs/>
          <w:color w:val="FF0000"/>
          <w:sz w:val="24"/>
        </w:rPr>
        <w:t>权利完善事件</w:t>
      </w:r>
      <w:r>
        <w:rPr>
          <w:rFonts w:hint="eastAsia" w:eastAsia="楷体_GB2312"/>
          <w:b/>
          <w:bCs/>
          <w:i/>
          <w:iCs/>
          <w:color w:val="FF0000"/>
          <w:sz w:val="24"/>
        </w:rPr>
        <w:t>/个别通知事件市场主体采取的表述方式多样，</w:t>
      </w:r>
      <w:r>
        <w:rPr>
          <w:rFonts w:eastAsia="楷体_GB2312"/>
          <w:b/>
          <w:bCs/>
          <w:i/>
          <w:iCs/>
          <w:color w:val="FF0000"/>
          <w:sz w:val="24"/>
        </w:rPr>
        <w:t>具体权利完善事件</w:t>
      </w:r>
      <w:r>
        <w:rPr>
          <w:rFonts w:hint="eastAsia" w:eastAsia="楷体_GB2312"/>
          <w:b/>
          <w:bCs/>
          <w:i/>
          <w:iCs/>
          <w:color w:val="FF0000"/>
          <w:sz w:val="24"/>
        </w:rPr>
        <w:t>以及该等事件发生后</w:t>
      </w:r>
      <w:r>
        <w:rPr>
          <w:rFonts w:eastAsia="楷体_GB2312"/>
          <w:b/>
          <w:bCs/>
          <w:i/>
          <w:iCs/>
          <w:color w:val="FF0000"/>
          <w:sz w:val="24"/>
        </w:rPr>
        <w:t>的</w:t>
      </w:r>
      <w:r>
        <w:rPr>
          <w:rFonts w:hint="eastAsia" w:eastAsia="楷体_GB2312"/>
          <w:b/>
          <w:bCs/>
          <w:i/>
          <w:iCs/>
          <w:color w:val="FF0000"/>
          <w:sz w:val="24"/>
        </w:rPr>
        <w:t>法律后果均</w:t>
      </w:r>
      <w:r>
        <w:rPr>
          <w:rFonts w:eastAsia="楷体_GB2312"/>
          <w:b/>
          <w:bCs/>
          <w:i/>
          <w:iCs/>
          <w:color w:val="FF0000"/>
          <w:sz w:val="24"/>
        </w:rPr>
        <w:t>可结合项目实际需要而予以调整</w:t>
      </w:r>
      <w:r>
        <w:rPr>
          <w:rFonts w:hint="eastAsia" w:eastAsia="楷体_GB2312"/>
          <w:b/>
          <w:bCs/>
          <w:i/>
          <w:iCs/>
          <w:color w:val="FF0000"/>
          <w:sz w:val="24"/>
        </w:rPr>
        <w:t>，注意</w:t>
      </w:r>
      <w:r>
        <w:rPr>
          <w:rFonts w:eastAsia="楷体_GB2312"/>
          <w:b/>
          <w:bCs/>
          <w:i/>
          <w:iCs/>
          <w:color w:val="FF0000"/>
          <w:sz w:val="24"/>
        </w:rPr>
        <w:t>与</w:t>
      </w:r>
      <w:r>
        <w:rPr>
          <w:rFonts w:hint="eastAsia" w:eastAsia="楷体_GB2312"/>
          <w:b/>
          <w:bCs/>
          <w:i/>
          <w:iCs/>
          <w:color w:val="FF0000"/>
          <w:sz w:val="24"/>
        </w:rPr>
        <w:t>相关条款</w:t>
      </w:r>
      <w:r>
        <w:rPr>
          <w:rFonts w:eastAsia="楷体_GB2312"/>
          <w:b/>
          <w:bCs/>
          <w:i/>
          <w:iCs/>
          <w:color w:val="FF0000"/>
          <w:sz w:val="24"/>
        </w:rPr>
        <w:t>约定相匹配即可</w:t>
      </w:r>
      <w:r>
        <w:rPr>
          <w:rFonts w:hint="eastAsia" w:eastAsia="楷体_GB2312"/>
          <w:b/>
          <w:bCs/>
          <w:i/>
          <w:iCs/>
          <w:color w:val="FF0000"/>
          <w:sz w:val="24"/>
        </w:rPr>
        <w:t>。</w:t>
      </w:r>
      <w:bookmarkEnd w:id="101"/>
      <w:r>
        <w:rPr>
          <w:rFonts w:eastAsia="楷体_GB2312"/>
          <w:b/>
          <w:bCs/>
          <w:i/>
          <w:iCs/>
          <w:color w:val="FF0000"/>
          <w:sz w:val="24"/>
        </w:rPr>
        <w:t>】</w:t>
      </w:r>
    </w:p>
    <w:p w14:paraId="02F68AF8">
      <w:pPr>
        <w:tabs>
          <w:tab w:val="left" w:pos="425"/>
          <w:tab w:val="left" w:pos="1985"/>
        </w:tabs>
        <w:spacing w:line="380" w:lineRule="exact"/>
        <w:ind w:left="1701"/>
        <w:rPr>
          <w:rFonts w:eastAsia="楷体_GB2312"/>
          <w:sz w:val="24"/>
        </w:rPr>
      </w:pPr>
    </w:p>
    <w:p w14:paraId="473DFC7F">
      <w:pPr>
        <w:numPr>
          <w:ilvl w:val="2"/>
          <w:numId w:val="4"/>
        </w:numPr>
        <w:tabs>
          <w:tab w:val="left" w:pos="900"/>
        </w:tabs>
        <w:spacing w:line="380" w:lineRule="atLeast"/>
        <w:ind w:left="1620" w:hanging="769"/>
        <w:rPr>
          <w:rFonts w:eastAsia="楷体_GB2312"/>
          <w:b/>
          <w:sz w:val="24"/>
        </w:rPr>
      </w:pPr>
      <w:bookmarkStart w:id="102" w:name="_Ref482277303"/>
      <w:r>
        <w:rPr>
          <w:rFonts w:eastAsia="楷体_GB2312"/>
          <w:b/>
          <w:sz w:val="24"/>
        </w:rPr>
        <w:t>受托人代为发送权利完善通知</w:t>
      </w:r>
      <w:bookmarkEnd w:id="102"/>
    </w:p>
    <w:p w14:paraId="300C7B04">
      <w:pPr>
        <w:spacing w:line="380" w:lineRule="exact"/>
        <w:ind w:left="851"/>
        <w:rPr>
          <w:rFonts w:eastAsia="楷体_GB2312"/>
          <w:sz w:val="24"/>
        </w:rPr>
      </w:pPr>
    </w:p>
    <w:p w14:paraId="69D821FD">
      <w:pPr>
        <w:pStyle w:val="78"/>
        <w:numPr>
          <w:ilvl w:val="0"/>
          <w:numId w:val="11"/>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“委托人”应于“信托生效日”或之前向“受托人”出具不可撤销的“授权书”（格式见本合同</w:t>
      </w:r>
      <w:r>
        <w:rPr>
          <w:rFonts w:eastAsia="楷体_GB2312"/>
          <w:i/>
          <w:iCs/>
          <w:sz w:val="24"/>
        </w:rPr>
        <w:t>【</w:t>
      </w:r>
      <w:r>
        <w:rPr>
          <w:rFonts w:eastAsia="楷体_GB2312"/>
          <w:b/>
          <w:i/>
          <w:sz w:val="24"/>
        </w:rPr>
        <w:t>附件四】</w:t>
      </w:r>
      <w:r>
        <w:rPr>
          <w:rFonts w:eastAsia="楷体_GB2312"/>
          <w:sz w:val="24"/>
        </w:rPr>
        <w:t>），授权“受托人”以“委托人”的名义，在发生“权利完善事件”或发生本合同第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w:t>
      </w:r>
      <w:r>
        <w:rPr>
          <w:rFonts w:hint="eastAsia" w:eastAsia="楷体_GB2312"/>
          <w:sz w:val="24"/>
        </w:rPr>
        <w:t>第(3)项</w:t>
      </w:r>
      <w:r>
        <w:rPr>
          <w:rFonts w:eastAsia="楷体_GB2312"/>
          <w:sz w:val="24"/>
        </w:rPr>
        <w:t>约定的情形且“委托人”不履行</w:t>
      </w:r>
      <w:r>
        <w:rPr>
          <w:rFonts w:eastAsia="楷体_GB2312"/>
          <w:color w:val="000000"/>
          <w:sz w:val="24"/>
        </w:rPr>
        <w:t>发送“权利完善通知”</w:t>
      </w:r>
      <w:r>
        <w:rPr>
          <w:rFonts w:eastAsia="楷体_GB2312"/>
          <w:sz w:val="24"/>
        </w:rPr>
        <w:t>的义务时，代为</w:t>
      </w:r>
      <w:r>
        <w:rPr>
          <w:rFonts w:eastAsia="楷体_GB2312"/>
          <w:color w:val="000000"/>
          <w:sz w:val="24"/>
        </w:rPr>
        <w:t>发送“权利完善通知”</w:t>
      </w:r>
      <w:r>
        <w:rPr>
          <w:rFonts w:eastAsia="楷体_GB2312"/>
          <w:sz w:val="24"/>
        </w:rPr>
        <w:t>。</w:t>
      </w:r>
    </w:p>
    <w:p w14:paraId="239CE970">
      <w:pPr>
        <w:spacing w:line="380" w:lineRule="exact"/>
        <w:ind w:left="1276"/>
        <w:rPr>
          <w:rFonts w:eastAsia="楷体_GB2312"/>
          <w:sz w:val="24"/>
        </w:rPr>
      </w:pPr>
    </w:p>
    <w:p w14:paraId="55B43132">
      <w:pPr>
        <w:pStyle w:val="78"/>
        <w:numPr>
          <w:ilvl w:val="0"/>
          <w:numId w:val="11"/>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如果“委托人”在发生“权利完善事件”或发生本合同第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w:t>
      </w:r>
      <w:r>
        <w:rPr>
          <w:rFonts w:hint="eastAsia" w:eastAsia="楷体_GB2312"/>
          <w:sz w:val="24"/>
        </w:rPr>
        <w:t>第(3)项</w:t>
      </w:r>
      <w:r>
        <w:rPr>
          <w:rFonts w:eastAsia="楷体_GB2312"/>
          <w:sz w:val="24"/>
        </w:rPr>
        <w:t>约定情形后未按照本合同第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款的约定发送“权利完善通知”，则“受托人”应在“委托人”按照本合同第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款的约定本应发送“权利完善通知”之日后的【】个“工作日”内，按照本合同第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款的约定，代表“委托人”向相应的“借款人”、“担保人”（如有）发送“权利完善通知”，并抄送给“委托人”。</w:t>
      </w:r>
    </w:p>
    <w:p w14:paraId="7CD03E40">
      <w:pPr>
        <w:spacing w:line="380" w:lineRule="atLeast"/>
        <w:rPr>
          <w:rFonts w:eastAsia="楷体_GB2312"/>
          <w:sz w:val="24"/>
        </w:rPr>
      </w:pPr>
    </w:p>
    <w:p w14:paraId="5BF11D73">
      <w:pPr>
        <w:numPr>
          <w:ilvl w:val="2"/>
          <w:numId w:val="4"/>
        </w:numPr>
        <w:tabs>
          <w:tab w:val="left" w:pos="1418"/>
          <w:tab w:val="clear" w:pos="1571"/>
        </w:tabs>
        <w:spacing w:line="380" w:lineRule="atLeast"/>
        <w:rPr>
          <w:rFonts w:eastAsia="楷体_GB2312"/>
          <w:b/>
          <w:sz w:val="24"/>
        </w:rPr>
      </w:pPr>
      <w:r>
        <w:rPr>
          <w:rFonts w:eastAsia="楷体_GB2312"/>
          <w:b/>
          <w:sz w:val="24"/>
        </w:rPr>
        <w:t>发送权利完善通知的费用</w:t>
      </w:r>
    </w:p>
    <w:p w14:paraId="4C03BCE3">
      <w:pPr>
        <w:spacing w:line="380" w:lineRule="atLeast"/>
        <w:ind w:left="1620"/>
        <w:rPr>
          <w:rFonts w:eastAsia="楷体_GB2312"/>
          <w:sz w:val="24"/>
        </w:rPr>
      </w:pPr>
    </w:p>
    <w:p w14:paraId="467230D3">
      <w:pPr>
        <w:spacing w:line="380" w:lineRule="atLeast"/>
        <w:ind w:left="1701" w:hanging="1"/>
        <w:rPr>
          <w:rFonts w:eastAsia="楷体_GB2312"/>
          <w:color w:val="000000"/>
          <w:sz w:val="24"/>
        </w:rPr>
      </w:pPr>
      <w:r>
        <w:rPr>
          <w:rFonts w:eastAsia="楷体_GB2312"/>
          <w:color w:val="000000"/>
          <w:sz w:val="24"/>
        </w:rPr>
        <w:t>“委托人”按照本合同的约定发送“权利完善通知”所发生的费用应由“委托人”自行承担。“受托人”按照本合同的约定代为发送“权利完善通知”所发生的费用按照本合同第</w:t>
      </w:r>
      <w:r>
        <w:rPr>
          <w:rFonts w:eastAsia="楷体_GB2312"/>
        </w:rPr>
        <w:fldChar w:fldCharType="begin"/>
      </w:r>
      <w:r>
        <w:rPr>
          <w:rFonts w:eastAsia="楷体_GB2312"/>
        </w:rPr>
        <w:instrText xml:space="preserve"> REF _Ref169088813 \r \h  \* MERGEFORMAT </w:instrText>
      </w:r>
      <w:r>
        <w:rPr>
          <w:rFonts w:eastAsia="楷体_GB2312"/>
        </w:rPr>
        <w:fldChar w:fldCharType="separate"/>
      </w:r>
      <w:r>
        <w:rPr>
          <w:rFonts w:eastAsia="楷体_GB2312"/>
          <w:color w:val="000000"/>
          <w:sz w:val="24"/>
        </w:rPr>
        <w:t>10</w:t>
      </w:r>
      <w:r>
        <w:rPr>
          <w:rFonts w:eastAsia="楷体_GB2312"/>
        </w:rPr>
        <w:fldChar w:fldCharType="end"/>
      </w:r>
      <w:r>
        <w:rPr>
          <w:rFonts w:eastAsia="楷体_GB2312"/>
          <w:color w:val="000000"/>
          <w:sz w:val="24"/>
        </w:rPr>
        <w:t>条的约定由“信托财产”垫付，并由“受托人”向“委托人”追偿，偿还款项归入“信托财产”；“信托财产”不足时，“受托人”先以固有财产垫付前述费用的，“受托人”可以按照本合同第</w:t>
      </w:r>
      <w:r>
        <w:rPr>
          <w:rFonts w:eastAsia="楷体_GB2312"/>
        </w:rPr>
        <w:fldChar w:fldCharType="begin"/>
      </w:r>
      <w:r>
        <w:rPr>
          <w:rFonts w:eastAsia="楷体_GB2312"/>
        </w:rPr>
        <w:instrText xml:space="preserve"> REF _Ref169088813 \r \h  \* MERGEFORMAT </w:instrText>
      </w:r>
      <w:r>
        <w:rPr>
          <w:rFonts w:eastAsia="楷体_GB2312"/>
        </w:rPr>
        <w:fldChar w:fldCharType="separate"/>
      </w:r>
      <w:r>
        <w:rPr>
          <w:rFonts w:eastAsia="楷体_GB2312"/>
          <w:color w:val="000000"/>
          <w:sz w:val="24"/>
        </w:rPr>
        <w:t>10</w:t>
      </w:r>
      <w:r>
        <w:rPr>
          <w:rFonts w:eastAsia="楷体_GB2312"/>
        </w:rPr>
        <w:fldChar w:fldCharType="end"/>
      </w:r>
      <w:r>
        <w:rPr>
          <w:rFonts w:eastAsia="楷体_GB2312"/>
          <w:color w:val="000000"/>
          <w:sz w:val="24"/>
        </w:rPr>
        <w:t>条的约定由“信托财产”偿还，并由“受托人”向“委托人”追偿。</w:t>
      </w:r>
    </w:p>
    <w:p w14:paraId="25C7D8C2">
      <w:pPr>
        <w:tabs>
          <w:tab w:val="left" w:pos="425"/>
          <w:tab w:val="left" w:pos="900"/>
          <w:tab w:val="left" w:pos="1571"/>
        </w:tabs>
        <w:spacing w:line="380" w:lineRule="atLeast"/>
        <w:ind w:left="1620"/>
        <w:rPr>
          <w:rFonts w:eastAsia="楷体_GB2312"/>
          <w:b/>
          <w:i/>
          <w:iCs/>
          <w:snapToGrid w:val="0"/>
          <w:color w:val="FF0000"/>
          <w:kern w:val="28"/>
          <w:sz w:val="24"/>
        </w:rPr>
      </w:pPr>
      <w:r>
        <w:rPr>
          <w:rFonts w:eastAsia="楷体_GB2312"/>
          <w:b/>
          <w:i/>
          <w:iCs/>
          <w:snapToGrid w:val="0"/>
          <w:color w:val="FF0000"/>
          <w:kern w:val="28"/>
          <w:sz w:val="24"/>
        </w:rPr>
        <w:t>【注：发送权利完善通知的费用承担方式，可视项目具体情况选择由委托人或信托财产或委托人承担。】</w:t>
      </w:r>
    </w:p>
    <w:p w14:paraId="7ED3569A">
      <w:pPr>
        <w:spacing w:line="380" w:lineRule="atLeast"/>
        <w:ind w:left="1418"/>
        <w:rPr>
          <w:rFonts w:eastAsia="楷体_GB2312"/>
          <w:b/>
          <w:sz w:val="24"/>
        </w:rPr>
      </w:pPr>
    </w:p>
    <w:p w14:paraId="0CAE40C5">
      <w:pPr>
        <w:numPr>
          <w:ilvl w:val="1"/>
          <w:numId w:val="4"/>
        </w:numPr>
        <w:tabs>
          <w:tab w:val="left" w:pos="900"/>
        </w:tabs>
        <w:spacing w:line="380" w:lineRule="atLeast"/>
        <w:outlineLvl w:val="1"/>
        <w:rPr>
          <w:rFonts w:eastAsia="楷体_GB2312"/>
          <w:b/>
          <w:bCs/>
          <w:sz w:val="24"/>
        </w:rPr>
      </w:pPr>
      <w:bookmarkStart w:id="103" w:name="_Ref51240902"/>
      <w:r>
        <w:rPr>
          <w:rFonts w:eastAsia="楷体_GB2312"/>
          <w:b/>
          <w:bCs/>
          <w:sz w:val="24"/>
        </w:rPr>
        <w:t>债权转让登记</w:t>
      </w:r>
    </w:p>
    <w:p w14:paraId="13F76B8F">
      <w:pPr>
        <w:tabs>
          <w:tab w:val="left" w:pos="900"/>
        </w:tabs>
        <w:spacing w:line="380" w:lineRule="atLeast"/>
        <w:ind w:left="1000" w:leftChars="500"/>
        <w:rPr>
          <w:rStyle w:val="63"/>
          <w:rFonts w:eastAsia="楷体_GB2312"/>
          <w:color w:val="auto"/>
          <w:w w:val="0"/>
          <w:sz w:val="24"/>
          <w:u w:val="none"/>
        </w:rPr>
      </w:pPr>
    </w:p>
    <w:p w14:paraId="15E603F3">
      <w:pPr>
        <w:tabs>
          <w:tab w:val="left" w:pos="900"/>
        </w:tabs>
        <w:spacing w:line="380" w:lineRule="atLeast"/>
        <w:ind w:left="1000" w:leftChars="500"/>
        <w:rPr>
          <w:rStyle w:val="63"/>
          <w:rFonts w:eastAsia="楷体_GB2312"/>
          <w:color w:val="auto"/>
          <w:w w:val="0"/>
          <w:sz w:val="24"/>
          <w:u w:val="none"/>
        </w:rPr>
      </w:pPr>
      <w:r>
        <w:rPr>
          <w:rStyle w:val="63"/>
          <w:rFonts w:eastAsia="楷体_GB2312"/>
          <w:color w:val="auto"/>
          <w:w w:val="0"/>
          <w:sz w:val="24"/>
          <w:u w:val="none"/>
        </w:rPr>
        <w:t>发生任一“权利完善事件”后【】日内，“受托人”将按照相关规定在“人民银行”征信中心的动产融资统一登记公示系统中办理存量“信贷资产”的转让登记，将相关“信贷资产”已根据本合同由“委托人”转让至“受托人”持有的情况予以公示。办理本款约定登记的费用（如有）由“受托人”以“信托财产”承担。</w:t>
      </w:r>
    </w:p>
    <w:p w14:paraId="34324131">
      <w:pPr>
        <w:tabs>
          <w:tab w:val="left" w:pos="1571"/>
        </w:tabs>
        <w:spacing w:line="380" w:lineRule="atLeast"/>
        <w:ind w:left="1620" w:hanging="769"/>
        <w:rPr>
          <w:rFonts w:eastAsia="楷体_GB2312"/>
          <w:sz w:val="24"/>
        </w:rPr>
      </w:pPr>
    </w:p>
    <w:p w14:paraId="06FBCC52">
      <w:pPr>
        <w:numPr>
          <w:ilvl w:val="1"/>
          <w:numId w:val="4"/>
        </w:numPr>
        <w:tabs>
          <w:tab w:val="left" w:pos="900"/>
        </w:tabs>
        <w:spacing w:line="380" w:lineRule="atLeast"/>
        <w:outlineLvl w:val="1"/>
        <w:rPr>
          <w:rFonts w:eastAsia="楷体_GB2312"/>
          <w:b/>
          <w:bCs/>
          <w:sz w:val="24"/>
        </w:rPr>
      </w:pPr>
      <w:r>
        <w:rPr>
          <w:rFonts w:eastAsia="楷体_GB2312"/>
          <w:b/>
          <w:bCs/>
          <w:sz w:val="24"/>
        </w:rPr>
        <w:t>抵销和混同风险的处理</w:t>
      </w:r>
      <w:bookmarkEnd w:id="103"/>
    </w:p>
    <w:p w14:paraId="04DA1F43">
      <w:pPr>
        <w:tabs>
          <w:tab w:val="left" w:pos="900"/>
        </w:tabs>
        <w:spacing w:line="380" w:lineRule="atLeast"/>
        <w:rPr>
          <w:rFonts w:eastAsia="楷体_GB2312"/>
          <w:sz w:val="24"/>
        </w:rPr>
      </w:pPr>
    </w:p>
    <w:p w14:paraId="3EEE0D07">
      <w:pPr>
        <w:numPr>
          <w:ilvl w:val="2"/>
          <w:numId w:val="4"/>
        </w:numPr>
        <w:tabs>
          <w:tab w:val="left" w:pos="900"/>
        </w:tabs>
        <w:spacing w:line="380" w:lineRule="atLeast"/>
        <w:ind w:left="1620" w:hanging="769"/>
        <w:rPr>
          <w:rFonts w:eastAsia="楷体_GB2312"/>
          <w:sz w:val="24"/>
        </w:rPr>
      </w:pPr>
      <w:bookmarkStart w:id="104" w:name="_Ref331769013"/>
      <w:r>
        <w:rPr>
          <w:rFonts w:eastAsia="楷体_GB2312"/>
          <w:sz w:val="24"/>
        </w:rPr>
        <w:t>如果“借款人”依据“中国法律”行使抵销权且被抵销债权属于“委托人”已交付设立或转让至“信托”的“信托财产”，则“委托人”应及时将相当于被“抵销”款项的资金全额支付给“贷款服务机构”，作为“借款人”偿还的相应数额的还款，并同时通知“受托人”。</w:t>
      </w:r>
      <w:bookmarkEnd w:id="104"/>
    </w:p>
    <w:p w14:paraId="4D76AE84">
      <w:pPr>
        <w:tabs>
          <w:tab w:val="left" w:pos="1571"/>
        </w:tabs>
        <w:spacing w:line="380" w:lineRule="atLeast"/>
        <w:ind w:left="1620" w:hanging="769"/>
        <w:rPr>
          <w:rFonts w:eastAsia="楷体_GB2312"/>
          <w:sz w:val="24"/>
        </w:rPr>
      </w:pPr>
    </w:p>
    <w:p w14:paraId="5D11EA26">
      <w:pPr>
        <w:numPr>
          <w:ilvl w:val="2"/>
          <w:numId w:val="4"/>
        </w:numPr>
        <w:tabs>
          <w:tab w:val="left" w:pos="900"/>
        </w:tabs>
        <w:spacing w:line="380" w:lineRule="atLeast"/>
        <w:ind w:left="1620" w:hanging="769"/>
        <w:rPr>
          <w:rFonts w:eastAsia="楷体_GB2312"/>
          <w:b/>
          <w:bCs/>
          <w:sz w:val="24"/>
        </w:rPr>
      </w:pPr>
      <w:r>
        <w:rPr>
          <w:rFonts w:eastAsia="楷体_GB2312"/>
          <w:sz w:val="24"/>
        </w:rPr>
        <w:t>如果“委托人”对“借款人”有多笔债权，且“借款人”依据“中国法律”行使抵销权，则“委托人”、“受托人”应共同与“借款人”确认被抵销债权是否属于“信托财产”。如果被“抵销”的债权属于“委托人”已交付</w:t>
      </w:r>
      <w:r>
        <w:rPr>
          <w:rFonts w:eastAsia="楷体_GB2312"/>
          <w:bCs/>
          <w:sz w:val="24"/>
        </w:rPr>
        <w:t>设立或转让至</w:t>
      </w:r>
      <w:r>
        <w:rPr>
          <w:rFonts w:eastAsia="楷体_GB2312"/>
          <w:sz w:val="24"/>
        </w:rPr>
        <w:t>“</w:t>
      </w:r>
      <w:r>
        <w:rPr>
          <w:rFonts w:eastAsia="楷体_GB2312"/>
          <w:bCs/>
          <w:sz w:val="24"/>
        </w:rPr>
        <w:t>信托</w:t>
      </w:r>
      <w:r>
        <w:rPr>
          <w:rFonts w:eastAsia="楷体_GB2312"/>
          <w:sz w:val="24"/>
        </w:rPr>
        <w:t>”</w:t>
      </w:r>
      <w:r>
        <w:rPr>
          <w:rFonts w:eastAsia="楷体_GB2312"/>
          <w:bCs/>
          <w:sz w:val="24"/>
        </w:rPr>
        <w:t>的</w:t>
      </w:r>
      <w:r>
        <w:rPr>
          <w:rFonts w:eastAsia="楷体_GB2312"/>
          <w:sz w:val="24"/>
        </w:rPr>
        <w:t>“</w:t>
      </w:r>
      <w:r>
        <w:rPr>
          <w:rFonts w:eastAsia="楷体_GB2312"/>
          <w:bCs/>
          <w:sz w:val="24"/>
        </w:rPr>
        <w:t>信托财产</w:t>
      </w:r>
      <w:r>
        <w:rPr>
          <w:rFonts w:eastAsia="楷体_GB2312"/>
          <w:sz w:val="24"/>
        </w:rPr>
        <w:t>”</w:t>
      </w:r>
      <w:r>
        <w:rPr>
          <w:rFonts w:eastAsia="楷体_GB2312"/>
          <w:bCs/>
          <w:sz w:val="24"/>
        </w:rPr>
        <w:t>，则</w:t>
      </w:r>
      <w:r>
        <w:rPr>
          <w:rFonts w:eastAsia="楷体_GB2312"/>
          <w:sz w:val="24"/>
        </w:rPr>
        <w:t>“</w:t>
      </w:r>
      <w:r>
        <w:rPr>
          <w:rFonts w:eastAsia="楷体_GB2312"/>
          <w:bCs/>
          <w:sz w:val="24"/>
        </w:rPr>
        <w:t>委托人</w:t>
      </w:r>
      <w:r>
        <w:rPr>
          <w:rFonts w:eastAsia="楷体_GB2312"/>
          <w:sz w:val="24"/>
        </w:rPr>
        <w:t>”</w:t>
      </w:r>
      <w:r>
        <w:rPr>
          <w:rFonts w:eastAsia="楷体_GB2312"/>
          <w:bCs/>
          <w:sz w:val="24"/>
        </w:rPr>
        <w:t>应按照本合同第</w:t>
      </w:r>
      <w:r>
        <w:rPr>
          <w:rFonts w:eastAsia="楷体_GB2312"/>
          <w:bCs/>
          <w:sz w:val="24"/>
        </w:rPr>
        <w:fldChar w:fldCharType="begin"/>
      </w:r>
      <w:r>
        <w:rPr>
          <w:rFonts w:eastAsia="楷体_GB2312"/>
          <w:bCs/>
          <w:sz w:val="24"/>
        </w:rPr>
        <w:instrText xml:space="preserve"> REF _Ref331769013 \r \h </w:instrText>
      </w:r>
      <w:r>
        <w:rPr>
          <w:rFonts w:eastAsia="楷体_GB2312"/>
          <w:bCs/>
          <w:sz w:val="24"/>
        </w:rPr>
        <w:fldChar w:fldCharType="separate"/>
      </w:r>
      <w:r>
        <w:rPr>
          <w:rFonts w:eastAsia="楷体_GB2312"/>
          <w:bCs/>
          <w:sz w:val="24"/>
        </w:rPr>
        <w:t>3.14.1</w:t>
      </w:r>
      <w:r>
        <w:rPr>
          <w:rFonts w:eastAsia="楷体_GB2312"/>
          <w:bCs/>
          <w:sz w:val="24"/>
        </w:rPr>
        <w:fldChar w:fldCharType="end"/>
      </w:r>
      <w:r>
        <w:rPr>
          <w:rFonts w:eastAsia="楷体_GB2312"/>
          <w:color w:val="000000"/>
          <w:sz w:val="24"/>
        </w:rPr>
        <w:t>款</w:t>
      </w:r>
      <w:r>
        <w:rPr>
          <w:rFonts w:eastAsia="楷体_GB2312"/>
          <w:bCs/>
          <w:sz w:val="24"/>
        </w:rPr>
        <w:t>履行义务。</w:t>
      </w:r>
    </w:p>
    <w:p w14:paraId="135098BC">
      <w:pPr>
        <w:pStyle w:val="78"/>
        <w:ind w:firstLine="482"/>
        <w:rPr>
          <w:rFonts w:eastAsia="楷体_GB2312"/>
          <w:b/>
          <w:bCs/>
          <w:sz w:val="24"/>
        </w:rPr>
      </w:pPr>
    </w:p>
    <w:p w14:paraId="1600317A">
      <w:pPr>
        <w:numPr>
          <w:ilvl w:val="2"/>
          <w:numId w:val="4"/>
        </w:numPr>
        <w:tabs>
          <w:tab w:val="left" w:pos="900"/>
        </w:tabs>
        <w:spacing w:line="380" w:lineRule="atLeast"/>
        <w:ind w:left="1620" w:hanging="769"/>
        <w:rPr>
          <w:rFonts w:eastAsia="楷体_GB2312"/>
          <w:sz w:val="24"/>
        </w:rPr>
      </w:pPr>
      <w:r>
        <w:rPr>
          <w:rFonts w:eastAsia="楷体_GB2312"/>
          <w:sz w:val="24"/>
        </w:rPr>
        <w:t>除本合同第</w:t>
      </w:r>
      <w:r>
        <w:rPr>
          <w:rFonts w:eastAsia="楷体_GB2312"/>
          <w:sz w:val="24"/>
        </w:rPr>
        <w:fldChar w:fldCharType="begin"/>
      </w:r>
      <w:r>
        <w:rPr>
          <w:rFonts w:eastAsia="楷体_GB2312"/>
          <w:sz w:val="24"/>
        </w:rPr>
        <w:instrText xml:space="preserve"> REF _Ref424059304 \r \h </w:instrText>
      </w:r>
      <w:r>
        <w:rPr>
          <w:rFonts w:eastAsia="楷体_GB2312"/>
          <w:sz w:val="24"/>
        </w:rPr>
        <w:fldChar w:fldCharType="separate"/>
      </w:r>
      <w:r>
        <w:rPr>
          <w:rFonts w:eastAsia="楷体_GB2312"/>
          <w:sz w:val="24"/>
        </w:rPr>
        <w:t>3.14.4</w:t>
      </w:r>
      <w:r>
        <w:rPr>
          <w:rFonts w:eastAsia="楷体_GB2312"/>
          <w:sz w:val="24"/>
        </w:rPr>
        <w:fldChar w:fldCharType="end"/>
      </w:r>
      <w:r>
        <w:rPr>
          <w:rFonts w:eastAsia="楷体_GB2312"/>
          <w:sz w:val="24"/>
        </w:rPr>
        <w:t>款另有约定外，如“信托”设立后“委托人”和“受托人”对同一“借款人”或“保证人”（如有）分别享有贷款债权和/或保证担保权利，当“借款人”或“保证人”偿还的款项不足以完全清偿其对“委托人”和“受托人”的到期应付款项，且无法识别“借款人”和/或“保证人”偿付的款项的归属时，则“借款人”和/或“保证人”的还款应按如下方式在“委托人”和“信托财产”之间分配：(1)优先用于偿付还款日在前的应付款项；(2)如两笔款项同日到期的，按照应付金额的比例进行分配。</w:t>
      </w:r>
    </w:p>
    <w:p w14:paraId="2076CC3F">
      <w:pPr>
        <w:tabs>
          <w:tab w:val="left" w:pos="425"/>
          <w:tab w:val="left" w:pos="900"/>
          <w:tab w:val="left" w:pos="1571"/>
        </w:tabs>
        <w:spacing w:line="380" w:lineRule="atLeast"/>
        <w:ind w:left="1620"/>
        <w:rPr>
          <w:rFonts w:eastAsia="楷体_GB2312"/>
          <w:sz w:val="24"/>
        </w:rPr>
      </w:pPr>
    </w:p>
    <w:p w14:paraId="088645D6">
      <w:pPr>
        <w:numPr>
          <w:ilvl w:val="2"/>
          <w:numId w:val="4"/>
        </w:numPr>
        <w:tabs>
          <w:tab w:val="left" w:pos="900"/>
        </w:tabs>
        <w:spacing w:line="380" w:lineRule="atLeast"/>
        <w:ind w:left="1620" w:hanging="769"/>
        <w:rPr>
          <w:rFonts w:eastAsia="楷体_GB2312"/>
          <w:sz w:val="24"/>
        </w:rPr>
      </w:pPr>
      <w:bookmarkStart w:id="105" w:name="_Ref424059304"/>
      <w:r>
        <w:rPr>
          <w:rFonts w:eastAsia="楷体_GB2312"/>
          <w:sz w:val="24"/>
        </w:rPr>
        <w:t>就“信托财产”项下的保证担保所涉及的“贷款”而言，如“信托”设立后“委托人”和“受托人”在同一保证担保项下对“借款人”、“保证人”分别享有债权、保证担保权利，且该等保证担保的主债权本金金额高于“《保证合同》”约定的担保限额（如约定限额），如该等保证担保不是最高额保证的，“委托人”确保“受托人”（代表“信托”）的未偿本金余额优先于“委托人”的未偿本金余额获得受偿；如该等保证担保是最高额保证的，“委托人”和“受托人”应当按照在最高额担保的主债权（即“委托人”和“受托人”对“借款人”享有的可以纳入最高额担保的贷款债权）确定之时，“委托人”和“受托人”（代表“信托”）的未偿本金余额的比例享有担保权益。</w:t>
      </w:r>
      <w:bookmarkEnd w:id="105"/>
    </w:p>
    <w:p w14:paraId="2231D805">
      <w:pPr>
        <w:pStyle w:val="78"/>
        <w:ind w:firstLine="480"/>
        <w:rPr>
          <w:rFonts w:eastAsia="楷体_GB2312"/>
          <w:sz w:val="24"/>
        </w:rPr>
      </w:pPr>
    </w:p>
    <w:p w14:paraId="6D38F0E9">
      <w:pPr>
        <w:numPr>
          <w:ilvl w:val="2"/>
          <w:numId w:val="4"/>
        </w:numPr>
        <w:tabs>
          <w:tab w:val="left" w:pos="900"/>
        </w:tabs>
        <w:spacing w:line="380" w:lineRule="atLeast"/>
        <w:ind w:left="1620" w:hanging="769"/>
        <w:rPr>
          <w:rFonts w:eastAsia="楷体_GB2312"/>
          <w:b/>
          <w:bCs/>
          <w:sz w:val="24"/>
        </w:rPr>
      </w:pPr>
      <w:bookmarkStart w:id="106" w:name="_Ref402883978"/>
      <w:bookmarkStart w:id="107" w:name="_Ref424053631"/>
      <w:r>
        <w:rPr>
          <w:rFonts w:eastAsia="楷体_GB2312"/>
          <w:sz w:val="24"/>
        </w:rPr>
        <w:t>就“信托财产”项下的最高额担保（就本款而言，最高额担保仅指最高额抵押、最高额质押）所涉及的“贷款”而言，如“信托”设立后“委托人”和“受托人”在同一最高额担保项下对“借款人”、“担保人”（如有）分别享有债权、担保权益，则“委托人”同意并确认，其在该等最高额担保合同项下对相应“担保人”（如有）所主张的主债权本金范围不超过以下(i)与(ii)项之差，其中(i)指该等最高额担保合同约定的最高担保限额；(ii)指该等最高额担保合同项下属于“信托财产”的“贷款”的“未偿本金余额”之和。</w:t>
      </w:r>
      <w:bookmarkEnd w:id="106"/>
      <w:r>
        <w:rPr>
          <w:rFonts w:eastAsia="楷体_GB2312"/>
          <w:sz w:val="24"/>
        </w:rPr>
        <w:t>如果在最高额担保的主债权（即“委托人”和“受托人”对“借款人”享有的可以纳入最高额担保的贷款债权）确定之时，最高额担保的主债权本金高于最高额担保合同约定的最高担保限额，则“委托人”和“受托人”应当按照此时[(i)-(ii)]：(ii)（(i)与(ii)含义如上所述）的比例享有最高额担保的担保权益；如果在最高额担保的主债权（即“委托人”和“受托人”对“借款人”享有的可以纳入最高额担保的贷款债权）确定之时，最高额担保的主债权本金等于或低于最高额担保合同约定的最高担保限额，则“委托人”和“受托人”应当按照此时“委托人”和“受托人”（代表“信托”）的未偿本金余额的比例享有最高额担保的担保权益。</w:t>
      </w:r>
      <w:bookmarkEnd w:id="107"/>
    </w:p>
    <w:p w14:paraId="3C7F0438">
      <w:pPr>
        <w:tabs>
          <w:tab w:val="left" w:pos="425"/>
          <w:tab w:val="left" w:pos="900"/>
          <w:tab w:val="left" w:pos="1571"/>
        </w:tabs>
        <w:spacing w:line="380" w:lineRule="atLeast"/>
        <w:ind w:left="1620"/>
        <w:rPr>
          <w:rFonts w:eastAsia="楷体_GB2312"/>
          <w:b/>
          <w:bCs/>
          <w:i/>
          <w:iCs/>
          <w:color w:val="FF0000"/>
          <w:sz w:val="24"/>
        </w:rPr>
      </w:pPr>
      <w:r>
        <w:rPr>
          <w:rFonts w:eastAsia="楷体_GB2312"/>
          <w:b/>
          <w:bCs/>
          <w:i/>
          <w:iCs/>
          <w:color w:val="FF0000"/>
          <w:sz w:val="24"/>
        </w:rPr>
        <w:t>【注：具体内容可根据项目具体情况调整。如具体项目资产不涉及担保的，则删除本款中担保相关表述。】</w:t>
      </w:r>
    </w:p>
    <w:p w14:paraId="6FD1AFA2">
      <w:pPr>
        <w:pStyle w:val="78"/>
        <w:ind w:firstLine="480"/>
        <w:rPr>
          <w:rFonts w:eastAsia="楷体_GB2312"/>
          <w:sz w:val="24"/>
        </w:rPr>
      </w:pPr>
    </w:p>
    <w:p w14:paraId="5A4BCB24">
      <w:pPr>
        <w:numPr>
          <w:ilvl w:val="1"/>
          <w:numId w:val="4"/>
        </w:numPr>
        <w:autoSpaceDE w:val="0"/>
        <w:autoSpaceDN w:val="0"/>
        <w:adjustRightInd w:val="0"/>
        <w:spacing w:line="380" w:lineRule="exact"/>
        <w:outlineLvl w:val="1"/>
        <w:rPr>
          <w:rFonts w:eastAsia="楷体_GB2312"/>
          <w:b/>
          <w:bCs/>
          <w:w w:val="0"/>
          <w:sz w:val="24"/>
        </w:rPr>
      </w:pPr>
      <w:bookmarkStart w:id="108" w:name="_Ref51240909"/>
      <w:r>
        <w:rPr>
          <w:rStyle w:val="63"/>
          <w:rFonts w:eastAsia="楷体_GB2312"/>
          <w:b/>
          <w:bCs/>
          <w:color w:val="auto"/>
          <w:w w:val="0"/>
          <w:sz w:val="24"/>
          <w:u w:val="none"/>
        </w:rPr>
        <w:t>抵销风险持续监控</w:t>
      </w:r>
      <w:bookmarkEnd w:id="108"/>
    </w:p>
    <w:p w14:paraId="28BD167F">
      <w:pPr>
        <w:spacing w:line="380" w:lineRule="exact"/>
        <w:ind w:left="425"/>
        <w:rPr>
          <w:rFonts w:eastAsia="楷体_GB2312"/>
          <w:color w:val="000000"/>
          <w:w w:val="0"/>
          <w:sz w:val="24"/>
        </w:rPr>
      </w:pPr>
    </w:p>
    <w:p w14:paraId="7914C79F">
      <w:pPr>
        <w:tabs>
          <w:tab w:val="left" w:pos="900"/>
        </w:tabs>
        <w:spacing w:line="380" w:lineRule="atLeast"/>
        <w:ind w:left="1000" w:leftChars="500"/>
        <w:rPr>
          <w:rStyle w:val="63"/>
          <w:rFonts w:eastAsia="楷体_GB2312"/>
          <w:color w:val="auto"/>
          <w:w w:val="0"/>
          <w:sz w:val="24"/>
          <w:u w:val="none"/>
        </w:rPr>
      </w:pPr>
      <w:bookmarkStart w:id="109" w:name="_Ref331769075"/>
      <w:r>
        <w:rPr>
          <w:rStyle w:val="63"/>
          <w:rFonts w:eastAsia="楷体_GB2312"/>
          <w:color w:val="auto"/>
          <w:w w:val="0"/>
          <w:sz w:val="24"/>
          <w:u w:val="none"/>
        </w:rPr>
        <w:t>自发生“权利完善事件”第【</w:t>
      </w:r>
      <w:r>
        <w:rPr>
          <w:rStyle w:val="63"/>
          <w:rFonts w:hint="eastAsia" w:eastAsia="楷体_GB2312"/>
          <w:color w:val="auto"/>
          <w:w w:val="0"/>
          <w:sz w:val="24"/>
          <w:u w:val="none"/>
        </w:rPr>
        <w:t>(</w:t>
      </w:r>
      <w:r>
        <w:rPr>
          <w:rStyle w:val="63"/>
          <w:rFonts w:eastAsia="楷体_GB2312"/>
          <w:color w:val="auto"/>
          <w:w w:val="0"/>
          <w:sz w:val="24"/>
          <w:u w:val="none"/>
        </w:rPr>
        <w:t>c</w:t>
      </w:r>
      <w:r>
        <w:rPr>
          <w:rStyle w:val="63"/>
          <w:rFonts w:hint="eastAsia" w:eastAsia="楷体_GB2312"/>
          <w:color w:val="auto"/>
          <w:w w:val="0"/>
          <w:sz w:val="24"/>
          <w:u w:val="none"/>
        </w:rPr>
        <w:t>)</w:t>
      </w:r>
      <w:r>
        <w:rPr>
          <w:rStyle w:val="63"/>
          <w:rFonts w:eastAsia="楷体_GB2312"/>
          <w:color w:val="auto"/>
          <w:w w:val="0"/>
          <w:sz w:val="24"/>
          <w:u w:val="none"/>
        </w:rPr>
        <w:t>】项或第【</w:t>
      </w:r>
      <w:r>
        <w:rPr>
          <w:rStyle w:val="63"/>
          <w:rFonts w:hint="eastAsia" w:eastAsia="楷体_GB2312"/>
          <w:color w:val="auto"/>
          <w:w w:val="0"/>
          <w:sz w:val="24"/>
          <w:u w:val="none"/>
        </w:rPr>
        <w:t>(</w:t>
      </w:r>
      <w:r>
        <w:rPr>
          <w:rStyle w:val="63"/>
          <w:rFonts w:eastAsia="楷体_GB2312"/>
          <w:color w:val="auto"/>
          <w:w w:val="0"/>
          <w:sz w:val="24"/>
          <w:u w:val="none"/>
        </w:rPr>
        <w:t>d</w:t>
      </w:r>
      <w:r>
        <w:rPr>
          <w:rStyle w:val="63"/>
          <w:rFonts w:hint="eastAsia" w:eastAsia="楷体_GB2312"/>
          <w:color w:val="auto"/>
          <w:w w:val="0"/>
          <w:sz w:val="24"/>
          <w:u w:val="none"/>
        </w:rPr>
        <w:t>)</w:t>
      </w:r>
      <w:r>
        <w:rPr>
          <w:rStyle w:val="63"/>
          <w:rFonts w:eastAsia="楷体_GB2312"/>
          <w:color w:val="auto"/>
          <w:w w:val="0"/>
          <w:sz w:val="24"/>
          <w:u w:val="none"/>
        </w:rPr>
        <w:t>】项之日起，“委托人”应对“借款人”在“委托人”处的存款（包括但不限于活期存款、定期存款等）数额进行持续统计和记录</w:t>
      </w:r>
      <w:bookmarkEnd w:id="109"/>
      <w:r>
        <w:rPr>
          <w:rStyle w:val="63"/>
          <w:rFonts w:eastAsia="楷体_GB2312"/>
          <w:color w:val="auto"/>
          <w:w w:val="0"/>
          <w:sz w:val="24"/>
          <w:u w:val="none"/>
        </w:rPr>
        <w:t>，并于每个“服务机构报告日”将该等统计结果和记录提供给“受托人”和“评级机构”。</w:t>
      </w:r>
    </w:p>
    <w:p w14:paraId="2D3B1586">
      <w:pPr>
        <w:tabs>
          <w:tab w:val="left" w:pos="1800"/>
        </w:tabs>
        <w:spacing w:line="380" w:lineRule="atLeast"/>
        <w:rPr>
          <w:rFonts w:eastAsia="楷体_GB2312"/>
          <w:sz w:val="24"/>
        </w:rPr>
      </w:pPr>
    </w:p>
    <w:p w14:paraId="4EB58BC6">
      <w:pPr>
        <w:numPr>
          <w:ilvl w:val="0"/>
          <w:numId w:val="4"/>
        </w:numPr>
        <w:spacing w:line="380" w:lineRule="atLeast"/>
        <w:outlineLvl w:val="0"/>
        <w:rPr>
          <w:rFonts w:eastAsia="楷体_GB2312"/>
          <w:b/>
          <w:sz w:val="24"/>
        </w:rPr>
      </w:pPr>
      <w:bookmarkStart w:id="110" w:name="_Toc373951545"/>
      <w:bookmarkStart w:id="111" w:name="_Toc110153424"/>
      <w:bookmarkStart w:id="112" w:name="_Toc3437"/>
      <w:bookmarkStart w:id="113" w:name="_Toc51277214"/>
      <w:bookmarkStart w:id="114" w:name="_Toc111281774"/>
      <w:r>
        <w:rPr>
          <w:rFonts w:eastAsia="楷体_GB2312"/>
          <w:b/>
          <w:sz w:val="24"/>
        </w:rPr>
        <w:t>委</w:t>
      </w:r>
      <w:bookmarkStart w:id="115" w:name="_Toc92612911"/>
      <w:r>
        <w:rPr>
          <w:rFonts w:eastAsia="楷体_GB2312"/>
          <w:b/>
          <w:sz w:val="24"/>
        </w:rPr>
        <w:t>托人</w:t>
      </w:r>
      <w:bookmarkEnd w:id="110"/>
      <w:bookmarkEnd w:id="111"/>
      <w:bookmarkEnd w:id="112"/>
      <w:bookmarkEnd w:id="113"/>
      <w:bookmarkEnd w:id="114"/>
    </w:p>
    <w:bookmarkEnd w:id="115"/>
    <w:p w14:paraId="25BFF975">
      <w:pPr>
        <w:spacing w:line="380" w:lineRule="atLeast"/>
        <w:ind w:left="420"/>
        <w:rPr>
          <w:rFonts w:eastAsia="楷体_GB2312"/>
          <w:b/>
          <w:i/>
          <w:iCs/>
          <w:snapToGrid w:val="0"/>
          <w:color w:val="FF0000"/>
          <w:kern w:val="28"/>
          <w:sz w:val="24"/>
        </w:rPr>
      </w:pPr>
      <w:r>
        <w:rPr>
          <w:rFonts w:eastAsia="楷体_GB2312"/>
          <w:b/>
          <w:i/>
          <w:iCs/>
          <w:snapToGrid w:val="0"/>
          <w:color w:val="FF0000"/>
          <w:kern w:val="28"/>
          <w:sz w:val="24"/>
        </w:rPr>
        <w:t>【注：委托人的权利、义务、陈述与保证、资产保证条款可根据项目具体情况进行补充或调整。】</w:t>
      </w:r>
    </w:p>
    <w:p w14:paraId="50D1BEC4">
      <w:pPr>
        <w:spacing w:line="380" w:lineRule="atLeast"/>
        <w:rPr>
          <w:rFonts w:eastAsia="楷体_GB2312"/>
          <w:bCs/>
          <w:sz w:val="24"/>
        </w:rPr>
      </w:pPr>
    </w:p>
    <w:p w14:paraId="19904710">
      <w:pPr>
        <w:numPr>
          <w:ilvl w:val="1"/>
          <w:numId w:val="4"/>
        </w:numPr>
        <w:tabs>
          <w:tab w:val="left" w:pos="900"/>
        </w:tabs>
        <w:spacing w:line="380" w:lineRule="atLeast"/>
        <w:outlineLvl w:val="1"/>
        <w:rPr>
          <w:rFonts w:eastAsia="楷体_GB2312"/>
          <w:b/>
          <w:sz w:val="24"/>
        </w:rPr>
      </w:pPr>
      <w:bookmarkStart w:id="116" w:name="_Toc111281775"/>
      <w:bookmarkStart w:id="117" w:name="_Toc110153425"/>
      <w:r>
        <w:rPr>
          <w:rFonts w:eastAsia="楷体_GB2312"/>
          <w:b/>
          <w:sz w:val="24"/>
        </w:rPr>
        <w:t>委</w:t>
      </w:r>
      <w:bookmarkStart w:id="118" w:name="_Toc92612912"/>
      <w:r>
        <w:rPr>
          <w:rFonts w:eastAsia="楷体_GB2312"/>
          <w:b/>
          <w:sz w:val="24"/>
        </w:rPr>
        <w:t>托人的权利</w:t>
      </w:r>
      <w:bookmarkEnd w:id="116"/>
      <w:bookmarkEnd w:id="117"/>
    </w:p>
    <w:bookmarkEnd w:id="118"/>
    <w:p w14:paraId="4F02ECD4">
      <w:pPr>
        <w:spacing w:line="380" w:lineRule="atLeast"/>
        <w:rPr>
          <w:rFonts w:eastAsia="楷体_GB2312"/>
          <w:b/>
          <w:sz w:val="24"/>
        </w:rPr>
      </w:pPr>
    </w:p>
    <w:p w14:paraId="3E446DD0">
      <w:pPr>
        <w:numPr>
          <w:ilvl w:val="2"/>
          <w:numId w:val="4"/>
        </w:numPr>
        <w:tabs>
          <w:tab w:val="left" w:pos="900"/>
        </w:tabs>
        <w:spacing w:line="380" w:lineRule="atLeast"/>
        <w:ind w:left="1620" w:hanging="769"/>
        <w:rPr>
          <w:rFonts w:eastAsia="楷体_GB2312"/>
          <w:sz w:val="24"/>
        </w:rPr>
      </w:pPr>
      <w:r>
        <w:rPr>
          <w:rFonts w:eastAsia="楷体_GB2312"/>
          <w:sz w:val="24"/>
        </w:rPr>
        <w:t>有权根据本合同第</w:t>
      </w:r>
      <w:r>
        <w:rPr>
          <w:rFonts w:eastAsia="楷体_GB2312"/>
          <w:sz w:val="24"/>
        </w:rPr>
        <w:fldChar w:fldCharType="begin"/>
      </w:r>
      <w:r>
        <w:rPr>
          <w:rFonts w:eastAsia="楷体_GB2312"/>
          <w:sz w:val="24"/>
        </w:rPr>
        <w:instrText xml:space="preserve"> REF _Ref331770629 \r \h </w:instrText>
      </w:r>
      <w:r>
        <w:rPr>
          <w:rFonts w:eastAsia="楷体_GB2312"/>
          <w:sz w:val="24"/>
        </w:rPr>
        <w:fldChar w:fldCharType="separate"/>
      </w:r>
      <w:r>
        <w:rPr>
          <w:rFonts w:eastAsia="楷体_GB2312"/>
          <w:sz w:val="24"/>
        </w:rPr>
        <w:t>3.10</w:t>
      </w:r>
      <w:r>
        <w:rPr>
          <w:rFonts w:eastAsia="楷体_GB2312"/>
          <w:sz w:val="24"/>
        </w:rPr>
        <w:fldChar w:fldCharType="end"/>
      </w:r>
      <w:r>
        <w:rPr>
          <w:rFonts w:eastAsia="楷体_GB2312"/>
          <w:sz w:val="24"/>
        </w:rPr>
        <w:t>款获得“资产支持证券募集资金”。</w:t>
      </w:r>
    </w:p>
    <w:p w14:paraId="62359482">
      <w:pPr>
        <w:tabs>
          <w:tab w:val="left" w:pos="425"/>
          <w:tab w:val="left" w:pos="900"/>
          <w:tab w:val="left" w:pos="1571"/>
        </w:tabs>
        <w:spacing w:line="380" w:lineRule="atLeast"/>
        <w:ind w:left="1620"/>
        <w:rPr>
          <w:rFonts w:eastAsia="楷体_GB2312"/>
          <w:sz w:val="24"/>
        </w:rPr>
      </w:pPr>
    </w:p>
    <w:p w14:paraId="3C8F3829">
      <w:pPr>
        <w:numPr>
          <w:ilvl w:val="2"/>
          <w:numId w:val="4"/>
        </w:numPr>
        <w:tabs>
          <w:tab w:val="left" w:pos="900"/>
        </w:tabs>
        <w:spacing w:line="380" w:lineRule="atLeast"/>
        <w:ind w:left="1620" w:hanging="769"/>
        <w:rPr>
          <w:rFonts w:eastAsia="楷体_GB2312"/>
          <w:sz w:val="24"/>
        </w:rPr>
      </w:pPr>
      <w:r>
        <w:rPr>
          <w:rFonts w:eastAsia="楷体_GB2312"/>
          <w:sz w:val="24"/>
        </w:rPr>
        <w:t>可以向“受托人”了解“信托财产”的管理、处分及收支情况，并可以要求“受托人”做出相应说明。</w:t>
      </w:r>
    </w:p>
    <w:p w14:paraId="5D6A5D2D">
      <w:pPr>
        <w:tabs>
          <w:tab w:val="left" w:pos="2160"/>
        </w:tabs>
        <w:spacing w:line="380" w:lineRule="atLeast"/>
        <w:ind w:left="1080"/>
        <w:rPr>
          <w:rFonts w:eastAsia="楷体_GB2312"/>
          <w:sz w:val="24"/>
        </w:rPr>
      </w:pPr>
    </w:p>
    <w:p w14:paraId="548570D9">
      <w:pPr>
        <w:numPr>
          <w:ilvl w:val="2"/>
          <w:numId w:val="4"/>
        </w:numPr>
        <w:tabs>
          <w:tab w:val="left" w:pos="900"/>
        </w:tabs>
        <w:spacing w:line="380" w:lineRule="atLeast"/>
        <w:ind w:left="1620" w:hanging="769"/>
        <w:rPr>
          <w:rFonts w:eastAsia="楷体_GB2312"/>
          <w:sz w:val="24"/>
        </w:rPr>
      </w:pPr>
      <w:r>
        <w:rPr>
          <w:rFonts w:eastAsia="楷体_GB2312"/>
          <w:sz w:val="24"/>
        </w:rPr>
        <w:t>可以查阅、抄录或者复制与“信托财产”有关的信托账目以及处理信托事务的其他文件。</w:t>
      </w:r>
    </w:p>
    <w:p w14:paraId="1E470515">
      <w:pPr>
        <w:tabs>
          <w:tab w:val="left" w:pos="2160"/>
        </w:tabs>
        <w:spacing w:line="380" w:lineRule="atLeast"/>
        <w:ind w:left="1080"/>
        <w:rPr>
          <w:rFonts w:eastAsia="楷体_GB2312"/>
          <w:sz w:val="24"/>
        </w:rPr>
      </w:pPr>
    </w:p>
    <w:p w14:paraId="259ABEB6">
      <w:pPr>
        <w:numPr>
          <w:ilvl w:val="2"/>
          <w:numId w:val="4"/>
        </w:numPr>
        <w:tabs>
          <w:tab w:val="left" w:pos="900"/>
        </w:tabs>
        <w:spacing w:line="380" w:lineRule="atLeast"/>
        <w:ind w:left="1620" w:hanging="769"/>
        <w:rPr>
          <w:rFonts w:eastAsia="楷体_GB2312"/>
          <w:sz w:val="24"/>
        </w:rPr>
      </w:pPr>
      <w:r>
        <w:rPr>
          <w:rFonts w:eastAsia="楷体_GB2312"/>
          <w:sz w:val="24"/>
        </w:rPr>
        <w:t>“中国法律”规定的和本合同约定的其他权利。</w:t>
      </w:r>
    </w:p>
    <w:p w14:paraId="3C931BEB">
      <w:pPr>
        <w:spacing w:line="380" w:lineRule="atLeast"/>
        <w:ind w:firstLine="420"/>
        <w:rPr>
          <w:rFonts w:eastAsia="楷体_GB2312"/>
          <w:sz w:val="24"/>
        </w:rPr>
      </w:pPr>
    </w:p>
    <w:p w14:paraId="72A2CB01">
      <w:pPr>
        <w:numPr>
          <w:ilvl w:val="1"/>
          <w:numId w:val="4"/>
        </w:numPr>
        <w:tabs>
          <w:tab w:val="left" w:pos="900"/>
        </w:tabs>
        <w:spacing w:line="380" w:lineRule="atLeast"/>
        <w:outlineLvl w:val="1"/>
        <w:rPr>
          <w:rFonts w:eastAsia="楷体_GB2312"/>
          <w:b/>
          <w:sz w:val="24"/>
        </w:rPr>
      </w:pPr>
      <w:bookmarkStart w:id="119" w:name="_Toc111281776"/>
      <w:bookmarkStart w:id="120" w:name="_Toc110153426"/>
      <w:r>
        <w:rPr>
          <w:rFonts w:eastAsia="楷体_GB2312"/>
          <w:b/>
          <w:sz w:val="24"/>
        </w:rPr>
        <w:t>委</w:t>
      </w:r>
      <w:bookmarkStart w:id="121" w:name="_Toc92612913"/>
      <w:r>
        <w:rPr>
          <w:rFonts w:eastAsia="楷体_GB2312"/>
          <w:b/>
          <w:sz w:val="24"/>
        </w:rPr>
        <w:t>托人的义务</w:t>
      </w:r>
      <w:bookmarkEnd w:id="119"/>
      <w:bookmarkEnd w:id="120"/>
    </w:p>
    <w:bookmarkEnd w:id="121"/>
    <w:p w14:paraId="6A52CDE3">
      <w:pPr>
        <w:spacing w:line="380" w:lineRule="atLeast"/>
        <w:rPr>
          <w:rFonts w:eastAsia="楷体_GB2312"/>
          <w:sz w:val="24"/>
        </w:rPr>
      </w:pPr>
    </w:p>
    <w:p w14:paraId="05B1664B">
      <w:pPr>
        <w:numPr>
          <w:ilvl w:val="2"/>
          <w:numId w:val="4"/>
        </w:numPr>
        <w:tabs>
          <w:tab w:val="left" w:pos="900"/>
        </w:tabs>
        <w:spacing w:line="380" w:lineRule="atLeast"/>
        <w:ind w:left="1620" w:hanging="769"/>
        <w:rPr>
          <w:rFonts w:eastAsia="楷体_GB2312"/>
          <w:sz w:val="24"/>
        </w:rPr>
      </w:pPr>
      <w:r>
        <w:rPr>
          <w:rFonts w:eastAsia="楷体_GB2312"/>
          <w:sz w:val="24"/>
        </w:rPr>
        <w:t>“委托人”应对“法律顾问”、“会计顾问/税务顾问”、“评级机构”、“评估机构”等中介服务机构所进行的工作给予必要的配合，包括但不限于“委托人”应尽量提供前述中介服务机构进行工作所需的资料。</w:t>
      </w:r>
    </w:p>
    <w:p w14:paraId="01AE0326">
      <w:pPr>
        <w:tabs>
          <w:tab w:val="left" w:pos="2160"/>
        </w:tabs>
        <w:spacing w:line="380" w:lineRule="atLeast"/>
        <w:ind w:left="1080"/>
        <w:rPr>
          <w:rFonts w:eastAsia="楷体_GB2312"/>
          <w:sz w:val="24"/>
        </w:rPr>
      </w:pPr>
    </w:p>
    <w:p w14:paraId="0BBB6941">
      <w:pPr>
        <w:numPr>
          <w:ilvl w:val="2"/>
          <w:numId w:val="4"/>
        </w:numPr>
        <w:tabs>
          <w:tab w:val="left" w:pos="900"/>
        </w:tabs>
        <w:spacing w:line="380" w:lineRule="atLeast"/>
        <w:ind w:left="1620" w:hanging="769"/>
        <w:rPr>
          <w:rFonts w:eastAsia="楷体_GB2312"/>
          <w:sz w:val="24"/>
        </w:rPr>
      </w:pPr>
      <w:r>
        <w:rPr>
          <w:rFonts w:eastAsia="楷体_GB2312"/>
          <w:sz w:val="24"/>
        </w:rPr>
        <w:t>“委托人”同意“受托人”按本合同约定的方式管理、运用、处分“信托财产”。</w:t>
      </w:r>
    </w:p>
    <w:p w14:paraId="2FC188AE">
      <w:pPr>
        <w:pStyle w:val="78"/>
        <w:ind w:firstLine="480"/>
        <w:rPr>
          <w:rFonts w:eastAsia="楷体_GB2312"/>
          <w:sz w:val="24"/>
        </w:rPr>
      </w:pPr>
    </w:p>
    <w:p w14:paraId="2EA5502C">
      <w:pPr>
        <w:numPr>
          <w:ilvl w:val="2"/>
          <w:numId w:val="4"/>
        </w:numPr>
        <w:tabs>
          <w:tab w:val="left" w:pos="900"/>
        </w:tabs>
        <w:spacing w:line="380" w:lineRule="atLeast"/>
        <w:ind w:left="1620" w:hanging="769"/>
        <w:rPr>
          <w:rFonts w:eastAsia="楷体_GB2312"/>
          <w:sz w:val="24"/>
        </w:rPr>
      </w:pPr>
      <w:r>
        <w:rPr>
          <w:rFonts w:eastAsia="楷体_GB2312"/>
          <w:sz w:val="24"/>
        </w:rPr>
        <w:t>除根据本合同将“信贷资产”信托予或出售给“受托人”之外，“委托人”不得再将“信贷资产”出售、质押、抵押、转让或转移给任何其他主体，不得采取其他行动损害“受托人”对“信贷资产”或“账户记录”享有的权利，不得在“信贷资产”或相关“账户记录”上设立或允许存在任何担保。</w:t>
      </w:r>
    </w:p>
    <w:p w14:paraId="170171D4">
      <w:pPr>
        <w:tabs>
          <w:tab w:val="left" w:pos="2160"/>
        </w:tabs>
        <w:spacing w:line="380" w:lineRule="atLeast"/>
        <w:ind w:left="1080"/>
        <w:rPr>
          <w:rFonts w:eastAsia="楷体_GB2312"/>
          <w:sz w:val="24"/>
        </w:rPr>
      </w:pPr>
    </w:p>
    <w:p w14:paraId="2D7898F0">
      <w:pPr>
        <w:numPr>
          <w:ilvl w:val="2"/>
          <w:numId w:val="4"/>
        </w:numPr>
        <w:tabs>
          <w:tab w:val="left" w:pos="900"/>
        </w:tabs>
        <w:spacing w:line="380" w:lineRule="atLeast"/>
        <w:ind w:left="1620" w:hanging="769"/>
        <w:rPr>
          <w:rFonts w:eastAsia="楷体_GB2312"/>
          <w:b/>
          <w:i/>
          <w:iCs/>
          <w:snapToGrid w:val="0"/>
          <w:color w:val="FF0000"/>
          <w:kern w:val="28"/>
          <w:sz w:val="24"/>
        </w:rPr>
      </w:pPr>
      <w:r>
        <w:rPr>
          <w:rFonts w:eastAsia="楷体_GB2312"/>
          <w:sz w:val="24"/>
        </w:rPr>
        <w:t>按照“交易文件”的约定支付自持的“资产支持证券”的认购款项。</w:t>
      </w:r>
      <w:r>
        <w:rPr>
          <w:rFonts w:eastAsia="楷体_GB2312"/>
          <w:b/>
          <w:i/>
          <w:iCs/>
          <w:snapToGrid w:val="0"/>
          <w:color w:val="FF0000"/>
          <w:kern w:val="28"/>
          <w:sz w:val="24"/>
        </w:rPr>
        <w:t>【注：本款适用于发起机构以资金认购自持证券的情形。】</w:t>
      </w:r>
    </w:p>
    <w:p w14:paraId="068FF2E4">
      <w:pPr>
        <w:pStyle w:val="78"/>
        <w:ind w:firstLine="480"/>
        <w:rPr>
          <w:rFonts w:eastAsia="楷体_GB2312"/>
          <w:sz w:val="24"/>
        </w:rPr>
      </w:pPr>
    </w:p>
    <w:p w14:paraId="5B65B96E">
      <w:pPr>
        <w:numPr>
          <w:ilvl w:val="2"/>
          <w:numId w:val="4"/>
        </w:numPr>
        <w:tabs>
          <w:tab w:val="left" w:pos="900"/>
        </w:tabs>
        <w:spacing w:line="380" w:lineRule="atLeast"/>
        <w:ind w:left="1620" w:hanging="769"/>
        <w:rPr>
          <w:rFonts w:eastAsia="楷体_GB2312"/>
          <w:sz w:val="24"/>
        </w:rPr>
      </w:pPr>
      <w:r>
        <w:rPr>
          <w:rFonts w:eastAsia="楷体_GB2312"/>
          <w:sz w:val="24"/>
        </w:rPr>
        <w:t>“委托人”应按照本合同的约定“赎回”“不合格信贷资产”。</w:t>
      </w:r>
    </w:p>
    <w:p w14:paraId="688793AD">
      <w:pPr>
        <w:tabs>
          <w:tab w:val="left" w:pos="2160"/>
        </w:tabs>
        <w:spacing w:line="380" w:lineRule="atLeast"/>
        <w:rPr>
          <w:rFonts w:eastAsia="楷体_GB2312"/>
          <w:sz w:val="24"/>
        </w:rPr>
      </w:pPr>
    </w:p>
    <w:p w14:paraId="34394CC8">
      <w:pPr>
        <w:numPr>
          <w:ilvl w:val="2"/>
          <w:numId w:val="4"/>
        </w:numPr>
        <w:tabs>
          <w:tab w:val="left" w:pos="900"/>
        </w:tabs>
        <w:spacing w:line="380" w:lineRule="atLeast"/>
        <w:ind w:left="1620" w:hanging="769"/>
        <w:rPr>
          <w:rFonts w:eastAsia="楷体_GB2312"/>
          <w:sz w:val="24"/>
        </w:rPr>
      </w:pPr>
      <w:r>
        <w:rPr>
          <w:rFonts w:eastAsia="楷体_GB2312"/>
          <w:sz w:val="24"/>
        </w:rPr>
        <w:t>在发生本合同第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款约定情形时，“委托人”有义务就“信贷资产”已经设立或转让为“信托财产”的相关事宜通知“借款人”、“担保人”（如有）。</w:t>
      </w:r>
    </w:p>
    <w:p w14:paraId="154374F1">
      <w:pPr>
        <w:tabs>
          <w:tab w:val="left" w:pos="425"/>
          <w:tab w:val="left" w:pos="900"/>
          <w:tab w:val="left" w:pos="1571"/>
        </w:tabs>
        <w:spacing w:line="380" w:lineRule="atLeast"/>
        <w:ind w:left="1620"/>
        <w:rPr>
          <w:rFonts w:eastAsia="楷体_GB2312"/>
          <w:sz w:val="24"/>
        </w:rPr>
      </w:pPr>
    </w:p>
    <w:p w14:paraId="57EA04AF">
      <w:pPr>
        <w:numPr>
          <w:ilvl w:val="2"/>
          <w:numId w:val="4"/>
        </w:numPr>
        <w:tabs>
          <w:tab w:val="left" w:pos="900"/>
        </w:tabs>
        <w:spacing w:line="380" w:lineRule="atLeast"/>
        <w:ind w:left="1620" w:hanging="769"/>
        <w:rPr>
          <w:rFonts w:eastAsia="楷体_GB2312"/>
          <w:sz w:val="24"/>
        </w:rPr>
      </w:pPr>
      <w:r>
        <w:rPr>
          <w:rFonts w:eastAsia="楷体_GB2312"/>
          <w:sz w:val="24"/>
        </w:rPr>
        <w:t>根据本合同第</w:t>
      </w:r>
      <w:r>
        <w:rPr>
          <w:rFonts w:eastAsia="楷体_GB2312"/>
          <w:sz w:val="24"/>
        </w:rPr>
        <w:fldChar w:fldCharType="begin"/>
      </w:r>
      <w:r>
        <w:rPr>
          <w:rFonts w:eastAsia="楷体_GB2312"/>
          <w:sz w:val="24"/>
        </w:rPr>
        <w:instrText xml:space="preserve"> REF _Ref53675020 \r \h </w:instrText>
      </w:r>
      <w:r>
        <w:rPr>
          <w:rFonts w:eastAsia="楷体_GB2312"/>
          <w:sz w:val="24"/>
        </w:rPr>
        <w:fldChar w:fldCharType="separate"/>
      </w:r>
      <w:r>
        <w:rPr>
          <w:rFonts w:eastAsia="楷体_GB2312"/>
          <w:sz w:val="24"/>
        </w:rPr>
        <w:t>3.9.6</w:t>
      </w:r>
      <w:r>
        <w:rPr>
          <w:rFonts w:eastAsia="楷体_GB2312"/>
          <w:sz w:val="24"/>
        </w:rPr>
        <w:fldChar w:fldCharType="end"/>
      </w:r>
      <w:r>
        <w:rPr>
          <w:rFonts w:eastAsia="楷体_GB2312"/>
          <w:sz w:val="24"/>
        </w:rPr>
        <w:t>款约定完成“抵押权”、“质权”</w:t>
      </w:r>
      <w:r>
        <w:rPr>
          <w:rFonts w:eastAsia="楷体_GB2312"/>
          <w:color w:val="000000"/>
          <w:w w:val="0"/>
          <w:sz w:val="24"/>
        </w:rPr>
        <w:t>（如有）</w:t>
      </w:r>
      <w:r>
        <w:rPr>
          <w:rFonts w:eastAsia="楷体_GB2312"/>
          <w:sz w:val="24"/>
        </w:rPr>
        <w:t>的转移登记手续，并将</w:t>
      </w:r>
      <w:r>
        <w:rPr>
          <w:rFonts w:eastAsia="楷体_GB2312"/>
          <w:color w:val="000000"/>
          <w:w w:val="0"/>
          <w:sz w:val="24"/>
        </w:rPr>
        <w:t>“委托人”持有的“质押财产”和/或“质押财产”的权利凭证（如有）交付给“受托人”</w:t>
      </w:r>
      <w:r>
        <w:rPr>
          <w:rFonts w:eastAsia="楷体_GB2312"/>
          <w:sz w:val="24"/>
        </w:rPr>
        <w:t>。</w:t>
      </w:r>
    </w:p>
    <w:p w14:paraId="47C2A430">
      <w:pPr>
        <w:tabs>
          <w:tab w:val="left" w:pos="1571"/>
        </w:tabs>
        <w:spacing w:line="380" w:lineRule="atLeast"/>
        <w:rPr>
          <w:rFonts w:eastAsia="楷体_GB2312"/>
          <w:sz w:val="24"/>
        </w:rPr>
      </w:pPr>
    </w:p>
    <w:p w14:paraId="11218D86">
      <w:pPr>
        <w:numPr>
          <w:ilvl w:val="2"/>
          <w:numId w:val="4"/>
        </w:numPr>
        <w:spacing w:line="380" w:lineRule="atLeast"/>
        <w:ind w:left="1620" w:hanging="769"/>
        <w:rPr>
          <w:rFonts w:eastAsia="楷体_GB2312"/>
          <w:sz w:val="24"/>
        </w:rPr>
      </w:pPr>
      <w:r>
        <w:rPr>
          <w:rFonts w:eastAsia="楷体_GB2312"/>
          <w:sz w:val="24"/>
        </w:rPr>
        <w:t>除根据本合同第</w:t>
      </w:r>
      <w:r>
        <w:rPr>
          <w:rFonts w:eastAsia="楷体_GB2312"/>
          <w:sz w:val="24"/>
        </w:rPr>
        <w:fldChar w:fldCharType="begin"/>
      </w:r>
      <w:r>
        <w:rPr>
          <w:rFonts w:eastAsia="楷体_GB2312"/>
          <w:sz w:val="24"/>
        </w:rPr>
        <w:instrText xml:space="preserve"> REF _Ref53675020 \r \h </w:instrText>
      </w:r>
      <w:r>
        <w:rPr>
          <w:rFonts w:eastAsia="楷体_GB2312"/>
          <w:sz w:val="24"/>
        </w:rPr>
        <w:fldChar w:fldCharType="separate"/>
      </w:r>
      <w:r>
        <w:rPr>
          <w:rFonts w:eastAsia="楷体_GB2312"/>
          <w:sz w:val="24"/>
        </w:rPr>
        <w:t>3.9.6</w:t>
      </w:r>
      <w:r>
        <w:rPr>
          <w:rFonts w:eastAsia="楷体_GB2312"/>
          <w:sz w:val="24"/>
        </w:rPr>
        <w:fldChar w:fldCharType="end"/>
      </w:r>
      <w:r>
        <w:rPr>
          <w:rFonts w:eastAsia="楷体_GB2312"/>
          <w:sz w:val="24"/>
        </w:rPr>
        <w:t>款将“抵押权”、“质权”</w:t>
      </w:r>
      <w:r>
        <w:rPr>
          <w:rFonts w:eastAsia="楷体_GB2312"/>
          <w:color w:val="000000"/>
          <w:w w:val="0"/>
          <w:sz w:val="24"/>
        </w:rPr>
        <w:t>转移</w:t>
      </w:r>
      <w:r>
        <w:rPr>
          <w:rFonts w:eastAsia="楷体_GB2312"/>
          <w:sz w:val="24"/>
        </w:rPr>
        <w:t>登记至“受托人”名下，及</w:t>
      </w:r>
      <w:r>
        <w:rPr>
          <w:rFonts w:eastAsia="楷体_GB2312"/>
          <w:color w:val="000000"/>
          <w:w w:val="0"/>
          <w:sz w:val="24"/>
        </w:rPr>
        <w:t>将“委托人”持有的“质押财产”（如有）和/或“质押财产”的权利凭证（如有）交付给“受托人”</w:t>
      </w:r>
      <w:r>
        <w:rPr>
          <w:rFonts w:eastAsia="楷体_GB2312"/>
          <w:sz w:val="24"/>
        </w:rPr>
        <w:t>外，“委托人”不得办理“抵押权”、“质权”的</w:t>
      </w:r>
      <w:r>
        <w:rPr>
          <w:rFonts w:eastAsia="楷体_GB2312"/>
          <w:color w:val="000000"/>
          <w:w w:val="0"/>
          <w:sz w:val="24"/>
        </w:rPr>
        <w:t>转移</w:t>
      </w:r>
      <w:r>
        <w:rPr>
          <w:rFonts w:eastAsia="楷体_GB2312"/>
          <w:sz w:val="24"/>
        </w:rPr>
        <w:t>登记、注销登记，不得将其持有的“质押财产”（如有）和/或“质押财产”的权利凭证（如有）交付给其他方，不得同意“抵押人”在“抵押物”上或“出质人”在“质押财产”上设定其他担保，也不得放弃“抵押权”、“质权”。</w:t>
      </w:r>
    </w:p>
    <w:p w14:paraId="4F3EF71D">
      <w:pPr>
        <w:spacing w:line="380" w:lineRule="atLeast"/>
        <w:rPr>
          <w:rFonts w:eastAsia="楷体_GB2312"/>
          <w:sz w:val="24"/>
        </w:rPr>
      </w:pPr>
    </w:p>
    <w:p w14:paraId="3D9AFE89">
      <w:pPr>
        <w:numPr>
          <w:ilvl w:val="2"/>
          <w:numId w:val="4"/>
        </w:numPr>
        <w:spacing w:line="380" w:lineRule="atLeast"/>
        <w:ind w:left="1620" w:hanging="769"/>
        <w:rPr>
          <w:rFonts w:eastAsia="楷体_GB2312"/>
          <w:sz w:val="24"/>
        </w:rPr>
      </w:pPr>
      <w:r>
        <w:rPr>
          <w:rFonts w:eastAsia="楷体_GB2312"/>
          <w:sz w:val="24"/>
        </w:rPr>
        <w:t>若“贷款”项下的“抵押物”、“质押财产”被人民法院查封、扣押、冻结或“受托人”提起关于“抵押物”、“质押财产”的诉讼，“委托人”应积极配合“受托人”，证明“贷款”及“附属权益”（如有）已经合法转让给“受托人”。</w:t>
      </w:r>
    </w:p>
    <w:p w14:paraId="7E238FEE">
      <w:pPr>
        <w:tabs>
          <w:tab w:val="left" w:pos="2160"/>
        </w:tabs>
        <w:spacing w:line="380" w:lineRule="atLeast"/>
        <w:ind w:left="1080"/>
        <w:rPr>
          <w:rFonts w:eastAsia="楷体_GB2312"/>
          <w:sz w:val="24"/>
        </w:rPr>
      </w:pPr>
    </w:p>
    <w:p w14:paraId="35558636">
      <w:pPr>
        <w:numPr>
          <w:ilvl w:val="2"/>
          <w:numId w:val="4"/>
        </w:numPr>
        <w:tabs>
          <w:tab w:val="left" w:pos="900"/>
        </w:tabs>
        <w:spacing w:line="380" w:lineRule="atLeast"/>
        <w:ind w:left="1620" w:hanging="769"/>
        <w:rPr>
          <w:rFonts w:eastAsia="楷体_GB2312"/>
          <w:sz w:val="24"/>
        </w:rPr>
      </w:pPr>
      <w:r>
        <w:rPr>
          <w:rFonts w:eastAsia="楷体_GB2312"/>
          <w:sz w:val="24"/>
        </w:rPr>
        <w:t>在“信托”设立后，“委托人”对“受托人”履行信托义务应当予以必要配合。</w:t>
      </w:r>
    </w:p>
    <w:p w14:paraId="2D0A9D0F">
      <w:pPr>
        <w:tabs>
          <w:tab w:val="left" w:pos="1571"/>
        </w:tabs>
        <w:spacing w:line="380" w:lineRule="atLeast"/>
        <w:rPr>
          <w:rFonts w:eastAsia="楷体_GB2312"/>
          <w:sz w:val="24"/>
        </w:rPr>
      </w:pPr>
    </w:p>
    <w:p w14:paraId="0B382151">
      <w:pPr>
        <w:numPr>
          <w:ilvl w:val="2"/>
          <w:numId w:val="4"/>
        </w:numPr>
        <w:tabs>
          <w:tab w:val="left" w:pos="900"/>
        </w:tabs>
        <w:spacing w:line="380" w:lineRule="atLeast"/>
        <w:ind w:left="1620" w:hanging="769"/>
        <w:rPr>
          <w:rFonts w:eastAsia="楷体_GB2312"/>
          <w:sz w:val="24"/>
        </w:rPr>
      </w:pPr>
      <w:r>
        <w:rPr>
          <w:rFonts w:eastAsia="楷体_GB2312"/>
          <w:sz w:val="24"/>
        </w:rPr>
        <w:t>“委托人”应按照本合同的约定按时足额将自“初始起算日”（含该日）至“信托财产交付日”（不含该日）收到的所有“信贷资产”产生的“回收款”支付至“信托账户”。</w:t>
      </w:r>
    </w:p>
    <w:p w14:paraId="0362E43D">
      <w:pPr>
        <w:spacing w:line="360" w:lineRule="auto"/>
        <w:ind w:left="1560"/>
        <w:rPr>
          <w:rFonts w:eastAsia="楷体_GB2312"/>
          <w:b/>
          <w:i/>
          <w:iCs/>
          <w:color w:val="FF0000"/>
          <w:sz w:val="24"/>
        </w:rPr>
      </w:pPr>
      <w:r>
        <w:rPr>
          <w:rFonts w:eastAsia="楷体_GB2312"/>
          <w:b/>
          <w:i/>
          <w:iCs/>
          <w:color w:val="FF0000"/>
          <w:sz w:val="24"/>
        </w:rPr>
        <w:t>【注：“初始起算日”至“信托生效日”期间纳入“信托财产”的“回收款”的范围及转付时间可待根据项目的具体情况确定。】</w:t>
      </w:r>
    </w:p>
    <w:p w14:paraId="03DABA67">
      <w:pPr>
        <w:pStyle w:val="78"/>
        <w:ind w:firstLine="482"/>
        <w:rPr>
          <w:rFonts w:eastAsia="楷体_GB2312"/>
          <w:b/>
          <w:bCs/>
          <w:sz w:val="24"/>
        </w:rPr>
      </w:pPr>
    </w:p>
    <w:p w14:paraId="792DA468">
      <w:pPr>
        <w:numPr>
          <w:ilvl w:val="2"/>
          <w:numId w:val="4"/>
        </w:numPr>
        <w:tabs>
          <w:tab w:val="left" w:pos="900"/>
        </w:tabs>
        <w:spacing w:line="380" w:lineRule="atLeast"/>
        <w:ind w:left="1620" w:hanging="769"/>
        <w:rPr>
          <w:rFonts w:eastAsia="楷体_GB2312"/>
          <w:sz w:val="24"/>
        </w:rPr>
      </w:pPr>
      <w:r>
        <w:rPr>
          <w:rFonts w:eastAsia="楷体_GB2312"/>
          <w:sz w:val="24"/>
        </w:rPr>
        <w:t>在“信托”设立后，如果“委托人”收到“借款人”和/或“担保人”（如有）支付的属于“信托财产”的资金，则“委托人”应立即将该资金及时交付给届时“受托人”指定的“贷款服务机构”，归入“信托财产”。</w:t>
      </w:r>
    </w:p>
    <w:p w14:paraId="67092350">
      <w:pPr>
        <w:tabs>
          <w:tab w:val="left" w:pos="2160"/>
        </w:tabs>
        <w:spacing w:line="380" w:lineRule="atLeast"/>
        <w:ind w:left="1080"/>
        <w:rPr>
          <w:rFonts w:eastAsia="楷体_GB2312"/>
          <w:sz w:val="24"/>
        </w:rPr>
      </w:pPr>
    </w:p>
    <w:p w14:paraId="649CA5E0">
      <w:pPr>
        <w:numPr>
          <w:ilvl w:val="2"/>
          <w:numId w:val="4"/>
        </w:numPr>
        <w:tabs>
          <w:tab w:val="left" w:pos="900"/>
        </w:tabs>
        <w:spacing w:line="380" w:lineRule="atLeast"/>
        <w:ind w:left="1620" w:hanging="769"/>
        <w:rPr>
          <w:rFonts w:eastAsia="楷体_GB2312"/>
          <w:sz w:val="24"/>
        </w:rPr>
      </w:pPr>
      <w:r>
        <w:rPr>
          <w:rFonts w:eastAsia="楷体_GB2312"/>
          <w:sz w:val="24"/>
        </w:rPr>
        <w:t>“委托人”应遵从国家反洗钱规定，不得利用本“信托”的设立、“信托财产”的运用、分配等本合同约定的财产转移方式从事洗钱性质的行为。</w:t>
      </w:r>
    </w:p>
    <w:p w14:paraId="68947F34">
      <w:pPr>
        <w:tabs>
          <w:tab w:val="left" w:pos="425"/>
          <w:tab w:val="left" w:pos="900"/>
          <w:tab w:val="left" w:pos="1571"/>
        </w:tabs>
        <w:spacing w:line="380" w:lineRule="atLeast"/>
        <w:ind w:left="1620"/>
        <w:rPr>
          <w:rFonts w:eastAsia="楷体_GB2312"/>
          <w:sz w:val="24"/>
        </w:rPr>
      </w:pPr>
    </w:p>
    <w:p w14:paraId="23E0DF42">
      <w:pPr>
        <w:numPr>
          <w:ilvl w:val="2"/>
          <w:numId w:val="4"/>
        </w:numPr>
        <w:tabs>
          <w:tab w:val="left" w:pos="900"/>
        </w:tabs>
        <w:spacing w:line="380" w:lineRule="atLeast"/>
        <w:ind w:left="1620" w:hanging="769"/>
        <w:rPr>
          <w:rFonts w:eastAsia="楷体_GB2312"/>
          <w:sz w:val="24"/>
        </w:rPr>
      </w:pPr>
      <w:r>
        <w:rPr>
          <w:rFonts w:eastAsia="楷体_GB2312"/>
          <w:sz w:val="24"/>
        </w:rPr>
        <w:t>“中国法律”规定的和本合同约定的其他与“信托财产”相关的义务。</w:t>
      </w:r>
    </w:p>
    <w:p w14:paraId="04E1BA00">
      <w:pPr>
        <w:tabs>
          <w:tab w:val="left" w:pos="2160"/>
        </w:tabs>
        <w:spacing w:line="380" w:lineRule="atLeast"/>
        <w:rPr>
          <w:rFonts w:eastAsia="楷体_GB2312"/>
          <w:sz w:val="24"/>
        </w:rPr>
      </w:pPr>
    </w:p>
    <w:p w14:paraId="62A94F5D">
      <w:pPr>
        <w:numPr>
          <w:ilvl w:val="1"/>
          <w:numId w:val="4"/>
        </w:numPr>
        <w:tabs>
          <w:tab w:val="left" w:pos="900"/>
        </w:tabs>
        <w:spacing w:line="380" w:lineRule="atLeast"/>
        <w:outlineLvl w:val="1"/>
        <w:rPr>
          <w:rFonts w:eastAsia="楷体_GB2312"/>
          <w:b/>
          <w:sz w:val="24"/>
        </w:rPr>
      </w:pPr>
      <w:bookmarkStart w:id="122" w:name="_Toc148384187"/>
      <w:bookmarkEnd w:id="122"/>
      <w:bookmarkStart w:id="123" w:name="_Toc148440777"/>
      <w:bookmarkEnd w:id="123"/>
      <w:bookmarkStart w:id="124" w:name="_Toc111281777"/>
      <w:bookmarkStart w:id="125" w:name="_Toc110153427"/>
      <w:r>
        <w:rPr>
          <w:rFonts w:eastAsia="楷体_GB2312"/>
          <w:b/>
          <w:sz w:val="24"/>
        </w:rPr>
        <w:t>委</w:t>
      </w:r>
      <w:bookmarkStart w:id="126" w:name="_Toc92612914"/>
      <w:r>
        <w:rPr>
          <w:rFonts w:eastAsia="楷体_GB2312"/>
          <w:b/>
          <w:sz w:val="24"/>
        </w:rPr>
        <w:t>托人的陈述</w:t>
      </w:r>
      <w:bookmarkEnd w:id="124"/>
      <w:bookmarkEnd w:id="125"/>
      <w:bookmarkEnd w:id="126"/>
      <w:r>
        <w:rPr>
          <w:rFonts w:eastAsia="楷体_GB2312"/>
          <w:b/>
          <w:sz w:val="24"/>
        </w:rPr>
        <w:t>和保证</w:t>
      </w:r>
    </w:p>
    <w:p w14:paraId="145699ED">
      <w:pPr>
        <w:spacing w:line="380" w:lineRule="atLeast"/>
        <w:rPr>
          <w:rFonts w:eastAsia="楷体_GB2312"/>
          <w:sz w:val="24"/>
        </w:rPr>
      </w:pPr>
    </w:p>
    <w:p w14:paraId="595BC53B">
      <w:pPr>
        <w:spacing w:line="380" w:lineRule="atLeast"/>
        <w:ind w:left="912" w:leftChars="456"/>
        <w:rPr>
          <w:rFonts w:eastAsia="楷体_GB2312"/>
          <w:sz w:val="24"/>
        </w:rPr>
      </w:pPr>
      <w:bookmarkStart w:id="127" w:name="_DV_M417"/>
      <w:bookmarkEnd w:id="127"/>
      <w:bookmarkStart w:id="128" w:name="_DV_M404"/>
      <w:bookmarkEnd w:id="128"/>
      <w:bookmarkStart w:id="129" w:name="_DV_M415"/>
      <w:bookmarkEnd w:id="129"/>
      <w:bookmarkStart w:id="130" w:name="_DV_M422"/>
      <w:bookmarkEnd w:id="130"/>
      <w:bookmarkStart w:id="131" w:name="_DV_M430"/>
      <w:bookmarkEnd w:id="131"/>
      <w:bookmarkStart w:id="132" w:name="_DV_M424"/>
      <w:bookmarkEnd w:id="132"/>
      <w:bookmarkStart w:id="133" w:name="_DV_M418"/>
      <w:bookmarkEnd w:id="133"/>
      <w:bookmarkStart w:id="134" w:name="_DV_M414"/>
      <w:bookmarkEnd w:id="134"/>
      <w:bookmarkStart w:id="135" w:name="_DV_M426"/>
      <w:bookmarkEnd w:id="135"/>
      <w:bookmarkStart w:id="136" w:name="_DV_M431"/>
      <w:bookmarkEnd w:id="136"/>
      <w:bookmarkStart w:id="137" w:name="_DV_M421"/>
      <w:bookmarkEnd w:id="137"/>
      <w:bookmarkStart w:id="138" w:name="_DV_M405"/>
      <w:bookmarkEnd w:id="138"/>
      <w:bookmarkStart w:id="139" w:name="_DV_M408"/>
      <w:bookmarkEnd w:id="139"/>
      <w:bookmarkStart w:id="140" w:name="_DV_M420"/>
      <w:bookmarkEnd w:id="140"/>
      <w:bookmarkStart w:id="141" w:name="_DV_M416"/>
      <w:bookmarkEnd w:id="141"/>
      <w:bookmarkStart w:id="142" w:name="_DV_M412"/>
      <w:bookmarkEnd w:id="142"/>
      <w:bookmarkStart w:id="143" w:name="_DV_M410"/>
      <w:bookmarkEnd w:id="143"/>
      <w:bookmarkStart w:id="144" w:name="_DV_M428"/>
      <w:bookmarkEnd w:id="144"/>
      <w:bookmarkStart w:id="145" w:name="_DV_M419"/>
      <w:bookmarkEnd w:id="145"/>
      <w:bookmarkStart w:id="146" w:name="_DV_M411"/>
      <w:bookmarkEnd w:id="146"/>
      <w:bookmarkStart w:id="147" w:name="_DV_M407"/>
      <w:bookmarkEnd w:id="147"/>
      <w:bookmarkStart w:id="148" w:name="_DV_M427"/>
      <w:bookmarkEnd w:id="148"/>
      <w:bookmarkStart w:id="149" w:name="_DV_M425"/>
      <w:bookmarkEnd w:id="149"/>
      <w:bookmarkStart w:id="150" w:name="_DV_M406"/>
      <w:bookmarkEnd w:id="150"/>
      <w:bookmarkStart w:id="151" w:name="_DV_M423"/>
      <w:bookmarkEnd w:id="151"/>
      <w:bookmarkStart w:id="152" w:name="_DV_M432"/>
      <w:bookmarkEnd w:id="152"/>
      <w:bookmarkStart w:id="153" w:name="_DV_M429"/>
      <w:bookmarkEnd w:id="153"/>
      <w:bookmarkStart w:id="154" w:name="_DV_M413"/>
      <w:bookmarkEnd w:id="154"/>
      <w:bookmarkStart w:id="155" w:name="_DV_M409"/>
      <w:bookmarkEnd w:id="155"/>
      <w:r>
        <w:rPr>
          <w:rFonts w:eastAsia="楷体_GB2312"/>
          <w:sz w:val="24"/>
        </w:rPr>
        <w:t>在本合同签署之日（或本条款约定的任何其他日期），为本合同其他相关各方的利益，“委托人”陈述并保证如下：</w:t>
      </w:r>
    </w:p>
    <w:p w14:paraId="30AA41C0">
      <w:pPr>
        <w:spacing w:line="380" w:lineRule="atLeast"/>
        <w:rPr>
          <w:rFonts w:eastAsia="楷体_GB2312"/>
          <w:sz w:val="24"/>
        </w:rPr>
      </w:pPr>
    </w:p>
    <w:p w14:paraId="0EA92A03">
      <w:pPr>
        <w:numPr>
          <w:ilvl w:val="2"/>
          <w:numId w:val="4"/>
        </w:numPr>
        <w:tabs>
          <w:tab w:val="left" w:pos="900"/>
        </w:tabs>
        <w:spacing w:line="380" w:lineRule="atLeast"/>
        <w:ind w:left="1620" w:hanging="769"/>
        <w:rPr>
          <w:rFonts w:eastAsia="楷体_GB2312"/>
          <w:sz w:val="24"/>
        </w:rPr>
      </w:pPr>
      <w:r>
        <w:rPr>
          <w:rFonts w:eastAsia="楷体_GB2312"/>
          <w:sz w:val="24"/>
        </w:rPr>
        <w:t>本合同签署之日，“委托人”已按照“中国法律”正式注册成立并有效存续，具有继续进行其正在经营之业务和履行本合同条款的各项权力和授权；</w:t>
      </w:r>
    </w:p>
    <w:p w14:paraId="0ABD5E9B">
      <w:pPr>
        <w:tabs>
          <w:tab w:val="left" w:pos="2160"/>
        </w:tabs>
        <w:spacing w:line="380" w:lineRule="atLeast"/>
        <w:ind w:left="1080"/>
        <w:rPr>
          <w:rFonts w:eastAsia="楷体_GB2312"/>
          <w:sz w:val="24"/>
        </w:rPr>
      </w:pPr>
    </w:p>
    <w:p w14:paraId="1DE3058D">
      <w:pPr>
        <w:numPr>
          <w:ilvl w:val="2"/>
          <w:numId w:val="4"/>
        </w:numPr>
        <w:tabs>
          <w:tab w:val="left" w:pos="900"/>
        </w:tabs>
        <w:spacing w:line="380" w:lineRule="atLeast"/>
        <w:ind w:left="1620" w:hanging="769"/>
        <w:rPr>
          <w:rFonts w:eastAsia="楷体_GB2312"/>
          <w:sz w:val="24"/>
        </w:rPr>
      </w:pPr>
      <w:r>
        <w:rPr>
          <w:rFonts w:eastAsia="楷体_GB2312"/>
          <w:sz w:val="24"/>
        </w:rPr>
        <w:t>本合同构成“委托人”合法的、有效的和有约束力的义务，并可按照本合同的条款对其强制执行（除非该等强制执行受到现时或未来有效并涉及影响债权人的权利和救济的破产、重整、和解或其他类似法律的限制）；</w:t>
      </w:r>
    </w:p>
    <w:p w14:paraId="2958B044">
      <w:pPr>
        <w:pStyle w:val="69"/>
        <w:ind w:firstLine="480"/>
        <w:rPr>
          <w:rFonts w:eastAsia="楷体_GB2312"/>
          <w:sz w:val="24"/>
        </w:rPr>
      </w:pPr>
    </w:p>
    <w:p w14:paraId="4A6EE377">
      <w:pPr>
        <w:numPr>
          <w:ilvl w:val="2"/>
          <w:numId w:val="4"/>
        </w:numPr>
        <w:tabs>
          <w:tab w:val="left" w:pos="900"/>
        </w:tabs>
        <w:spacing w:line="380" w:lineRule="atLeast"/>
        <w:ind w:left="1620" w:hanging="769"/>
        <w:rPr>
          <w:rFonts w:eastAsia="楷体_GB2312"/>
          <w:sz w:val="24"/>
        </w:rPr>
      </w:pPr>
      <w:r>
        <w:rPr>
          <w:rFonts w:eastAsia="楷体_GB2312"/>
          <w:sz w:val="24"/>
        </w:rPr>
        <w:t>除“交易文件”另有约定以外，“委托人”已为签署和交付本合同以及履行本合同项下约定之义务取得了各项必要的确认、同意、许可、批准和授权，并已办理了各项必要的声明、申请、备案、登记、通知和报告手续；</w:t>
      </w:r>
    </w:p>
    <w:p w14:paraId="1B192001">
      <w:pPr>
        <w:tabs>
          <w:tab w:val="left" w:pos="2160"/>
        </w:tabs>
        <w:spacing w:line="380" w:lineRule="atLeast"/>
        <w:ind w:left="1080"/>
        <w:rPr>
          <w:rFonts w:eastAsia="楷体_GB2312"/>
          <w:sz w:val="24"/>
        </w:rPr>
      </w:pPr>
    </w:p>
    <w:p w14:paraId="2DED7CB0">
      <w:pPr>
        <w:numPr>
          <w:ilvl w:val="2"/>
          <w:numId w:val="4"/>
        </w:numPr>
        <w:tabs>
          <w:tab w:val="left" w:pos="900"/>
        </w:tabs>
        <w:spacing w:line="380" w:lineRule="atLeast"/>
        <w:ind w:left="1620" w:hanging="769"/>
        <w:rPr>
          <w:rFonts w:eastAsia="楷体_GB2312"/>
          <w:sz w:val="24"/>
        </w:rPr>
      </w:pPr>
      <w:r>
        <w:rPr>
          <w:rFonts w:eastAsia="楷体_GB2312"/>
          <w:sz w:val="24"/>
        </w:rPr>
        <w:t>据“委托人”所知，“委托人”签署、交付和履行本合同条款，第一，不违反或抵触适用于“委托人”的任何“中国法律”规定；第二，不违反“委托人”的组建文件；第三，不违反或不会导致“委托人”违反其作为一方或对其或其财产有约束力的任何有效协议或契据的约定，且不会因此导致“重大不利影响”；第四，不会构成任何该等协议或契据项下的违约事件，且不会因此导致“重大不利影响”；</w:t>
      </w:r>
    </w:p>
    <w:p w14:paraId="0AD539DE">
      <w:pPr>
        <w:tabs>
          <w:tab w:val="left" w:pos="2160"/>
        </w:tabs>
        <w:spacing w:line="380" w:lineRule="atLeast"/>
        <w:ind w:left="1080"/>
        <w:rPr>
          <w:rFonts w:eastAsia="楷体_GB2312"/>
          <w:sz w:val="24"/>
        </w:rPr>
      </w:pPr>
    </w:p>
    <w:p w14:paraId="3119A987">
      <w:pPr>
        <w:numPr>
          <w:ilvl w:val="2"/>
          <w:numId w:val="4"/>
        </w:numPr>
        <w:tabs>
          <w:tab w:val="left" w:pos="900"/>
        </w:tabs>
        <w:spacing w:line="380" w:lineRule="atLeast"/>
        <w:ind w:left="1620" w:hanging="769"/>
        <w:rPr>
          <w:rFonts w:eastAsia="楷体_GB2312"/>
          <w:sz w:val="24"/>
        </w:rPr>
      </w:pPr>
      <w:r>
        <w:rPr>
          <w:rFonts w:eastAsia="楷体_GB2312"/>
          <w:sz w:val="24"/>
        </w:rPr>
        <w:t>就“委托人”所知，本合同签署之日，未出现或持续存在任何其他不利事件，也不存在任何不利状况，会构成违反“委托人”作为一方或对其或其财产有约束力的任何协议或契据项下的约定，且可能因此导致“重大不利影响”；</w:t>
      </w:r>
    </w:p>
    <w:p w14:paraId="40897C81">
      <w:pPr>
        <w:tabs>
          <w:tab w:val="left" w:pos="2160"/>
        </w:tabs>
        <w:spacing w:line="380" w:lineRule="atLeast"/>
        <w:ind w:left="1080"/>
        <w:rPr>
          <w:rFonts w:eastAsia="楷体_GB2312"/>
          <w:sz w:val="24"/>
        </w:rPr>
      </w:pPr>
    </w:p>
    <w:p w14:paraId="757A403E">
      <w:pPr>
        <w:numPr>
          <w:ilvl w:val="2"/>
          <w:numId w:val="4"/>
        </w:numPr>
        <w:tabs>
          <w:tab w:val="left" w:pos="900"/>
        </w:tabs>
        <w:spacing w:line="380" w:lineRule="atLeast"/>
        <w:ind w:left="1620" w:hanging="769"/>
        <w:rPr>
          <w:rFonts w:eastAsia="楷体_GB2312"/>
          <w:sz w:val="24"/>
        </w:rPr>
      </w:pPr>
      <w:r>
        <w:rPr>
          <w:rFonts w:eastAsia="楷体_GB2312"/>
          <w:sz w:val="24"/>
        </w:rPr>
        <w:t>就“委托人”所知，本合同签署之日，没有任何诉讼、仲裁或其他司法或是行政争端威胁、质疑本合同或根据本合同已采取或将要采取的行动的有效性，或有可能个别地或整体地导致“重大不利影响”；“委托人”没有违反任何可能导致“重大不利影响”的“政府机构”命令；</w:t>
      </w:r>
    </w:p>
    <w:p w14:paraId="6DFF937D">
      <w:pPr>
        <w:tabs>
          <w:tab w:val="left" w:pos="2160"/>
        </w:tabs>
        <w:spacing w:line="380" w:lineRule="atLeast"/>
        <w:ind w:left="1080"/>
        <w:rPr>
          <w:rFonts w:eastAsia="楷体_GB2312"/>
          <w:sz w:val="24"/>
        </w:rPr>
      </w:pPr>
    </w:p>
    <w:p w14:paraId="00CA241D">
      <w:pPr>
        <w:numPr>
          <w:ilvl w:val="2"/>
          <w:numId w:val="4"/>
        </w:numPr>
        <w:tabs>
          <w:tab w:val="left" w:pos="900"/>
        </w:tabs>
        <w:spacing w:line="380" w:lineRule="atLeast"/>
        <w:ind w:left="1620" w:hanging="769"/>
        <w:rPr>
          <w:rFonts w:eastAsia="楷体_GB2312"/>
          <w:sz w:val="24"/>
        </w:rPr>
      </w:pPr>
      <w:r>
        <w:rPr>
          <w:rFonts w:eastAsia="楷体_GB2312"/>
          <w:sz w:val="24"/>
        </w:rPr>
        <w:t>“委托人”具有清偿债务的能力，在可合理预见的未来，不会因“信托”的设立、“信贷资产”的转让、本合同或其他“交易文件”项下的任何其他交易而丧失清偿能力；“委托人”未发生“丧失清偿能力事件”；“委托人”未采取任何公司行动，也没有他人针对“委托人”采取其他任何不利步骤，或者开始或即将启动任何法律程序，以使其解散或就其或其全部或部分财产或收入委任接管人、清算人或类似人员；“委托人”有清偿能力能够支付其任一债务，对其不存在争议（包括但不限于诉讼和仲裁）的债务，不会故意迟延支付；</w:t>
      </w:r>
    </w:p>
    <w:p w14:paraId="65D83032">
      <w:pPr>
        <w:tabs>
          <w:tab w:val="left" w:pos="2160"/>
        </w:tabs>
        <w:spacing w:line="380" w:lineRule="atLeast"/>
        <w:ind w:left="1080"/>
        <w:rPr>
          <w:rFonts w:eastAsia="楷体_GB2312"/>
          <w:sz w:val="24"/>
        </w:rPr>
      </w:pPr>
    </w:p>
    <w:p w14:paraId="31BDC8D4">
      <w:pPr>
        <w:numPr>
          <w:ilvl w:val="2"/>
          <w:numId w:val="4"/>
        </w:numPr>
        <w:tabs>
          <w:tab w:val="left" w:pos="900"/>
        </w:tabs>
        <w:spacing w:line="380" w:lineRule="atLeast"/>
        <w:ind w:left="1620" w:hanging="769"/>
        <w:rPr>
          <w:rFonts w:eastAsia="楷体_GB2312"/>
          <w:sz w:val="24"/>
        </w:rPr>
      </w:pPr>
      <w:r>
        <w:rPr>
          <w:rFonts w:eastAsia="楷体_GB2312"/>
          <w:sz w:val="24"/>
        </w:rPr>
        <w:t>“委托人”公布的其最近一财务年度经审计的财务报告，能够准确地反映“委托人”在该等报告期间的财务状况；且自该等财务报告出具之日直至本合同签署之日，亦未发生“重大不利变化”；</w:t>
      </w:r>
    </w:p>
    <w:p w14:paraId="58CE4A13">
      <w:pPr>
        <w:spacing w:line="380" w:lineRule="atLeast"/>
        <w:ind w:left="1620"/>
        <w:rPr>
          <w:rFonts w:eastAsia="楷体_GB2312"/>
          <w:sz w:val="24"/>
        </w:rPr>
      </w:pPr>
    </w:p>
    <w:p w14:paraId="7CFCABAB">
      <w:pPr>
        <w:numPr>
          <w:ilvl w:val="2"/>
          <w:numId w:val="4"/>
        </w:numPr>
        <w:tabs>
          <w:tab w:val="left" w:pos="900"/>
        </w:tabs>
        <w:spacing w:line="380" w:lineRule="atLeast"/>
        <w:ind w:left="1620" w:hanging="769"/>
        <w:rPr>
          <w:rFonts w:eastAsia="楷体_GB2312"/>
          <w:sz w:val="24"/>
        </w:rPr>
      </w:pPr>
      <w:r>
        <w:rPr>
          <w:rFonts w:eastAsia="楷体_GB2312"/>
          <w:sz w:val="24"/>
        </w:rPr>
        <w:t>“委托人”将及时报送本合同项下所有须由“委托人”报送的纳税申报表，并将及时缴纳本合同项下依法应由“委托人”承担的税款、税项、摊派税款和其他经合法批准的政府收费；</w:t>
      </w:r>
    </w:p>
    <w:p w14:paraId="0452A720">
      <w:pPr>
        <w:tabs>
          <w:tab w:val="left" w:pos="2160"/>
        </w:tabs>
        <w:spacing w:line="380" w:lineRule="atLeast"/>
        <w:ind w:left="1080"/>
        <w:rPr>
          <w:rFonts w:eastAsia="楷体_GB2312"/>
          <w:sz w:val="24"/>
        </w:rPr>
      </w:pPr>
    </w:p>
    <w:p w14:paraId="71E22E98">
      <w:pPr>
        <w:numPr>
          <w:ilvl w:val="2"/>
          <w:numId w:val="4"/>
        </w:numPr>
        <w:tabs>
          <w:tab w:val="left" w:pos="900"/>
        </w:tabs>
        <w:spacing w:line="380" w:lineRule="atLeast"/>
        <w:ind w:left="1620" w:hanging="769"/>
        <w:rPr>
          <w:rFonts w:eastAsia="楷体_GB2312"/>
          <w:sz w:val="24"/>
        </w:rPr>
      </w:pPr>
      <w:r>
        <w:rPr>
          <w:rFonts w:eastAsia="楷体_GB2312"/>
          <w:sz w:val="24"/>
        </w:rPr>
        <w:t>本合同项下设立的“信托”，按照所适用的“中国法律”并非是可撤销的、或为非法的目的而设，“委托人”进行“交易文件”项下的交易也并非出于非法的目的；</w:t>
      </w:r>
    </w:p>
    <w:p w14:paraId="0D22715C">
      <w:pPr>
        <w:tabs>
          <w:tab w:val="left" w:pos="2160"/>
        </w:tabs>
        <w:spacing w:line="380" w:lineRule="atLeast"/>
        <w:ind w:left="1080"/>
        <w:rPr>
          <w:rFonts w:eastAsia="楷体_GB2312"/>
          <w:sz w:val="24"/>
        </w:rPr>
      </w:pPr>
    </w:p>
    <w:p w14:paraId="7D639EE0">
      <w:pPr>
        <w:numPr>
          <w:ilvl w:val="2"/>
          <w:numId w:val="4"/>
        </w:numPr>
        <w:tabs>
          <w:tab w:val="left" w:pos="900"/>
        </w:tabs>
        <w:spacing w:line="380" w:lineRule="atLeast"/>
        <w:ind w:left="1620" w:hanging="769"/>
        <w:rPr>
          <w:rFonts w:eastAsia="楷体_GB2312"/>
          <w:sz w:val="24"/>
        </w:rPr>
      </w:pPr>
      <w:r>
        <w:rPr>
          <w:rFonts w:eastAsia="楷体_GB2312"/>
          <w:sz w:val="24"/>
        </w:rPr>
        <w:t>就“委托人”所知，截至本合同签署之日，未出现任何不利事件，也不存在任何不利状况，且按照本合同以“信托财产”设立信托或运用其收益也不会导致任何不利事件或状况，而构成或被合理预期将构成任何“违约事件”、“贷款服务机构解任事件”、“受托人辞任事件”或“受托人解任事件”；</w:t>
      </w:r>
    </w:p>
    <w:p w14:paraId="71D2EA03">
      <w:pPr>
        <w:tabs>
          <w:tab w:val="left" w:pos="2160"/>
        </w:tabs>
        <w:spacing w:line="380" w:lineRule="atLeast"/>
        <w:ind w:left="1080"/>
        <w:rPr>
          <w:rFonts w:eastAsia="楷体_GB2312"/>
          <w:sz w:val="24"/>
        </w:rPr>
      </w:pPr>
    </w:p>
    <w:p w14:paraId="436871FF">
      <w:pPr>
        <w:numPr>
          <w:ilvl w:val="2"/>
          <w:numId w:val="4"/>
        </w:numPr>
        <w:tabs>
          <w:tab w:val="left" w:pos="900"/>
        </w:tabs>
        <w:spacing w:line="380" w:lineRule="atLeast"/>
        <w:ind w:left="1620" w:hanging="769"/>
        <w:rPr>
          <w:rFonts w:eastAsia="楷体_GB2312"/>
          <w:sz w:val="24"/>
        </w:rPr>
      </w:pPr>
      <w:r>
        <w:rPr>
          <w:rFonts w:eastAsia="楷体_GB2312"/>
          <w:sz w:val="24"/>
        </w:rPr>
        <w:t>“委托人”在“交易文件”中（无论是作为“委托人”还是“贷款服务机构”）作出的陈述和保证，在所有重大方面均真实、完整和正确；</w:t>
      </w:r>
    </w:p>
    <w:p w14:paraId="18EA15B0">
      <w:pPr>
        <w:tabs>
          <w:tab w:val="left" w:pos="2160"/>
        </w:tabs>
        <w:spacing w:line="380" w:lineRule="atLeast"/>
        <w:ind w:left="1080"/>
        <w:rPr>
          <w:rFonts w:eastAsia="楷体_GB2312"/>
          <w:sz w:val="24"/>
        </w:rPr>
      </w:pPr>
    </w:p>
    <w:p w14:paraId="674EB071">
      <w:pPr>
        <w:numPr>
          <w:ilvl w:val="2"/>
          <w:numId w:val="4"/>
        </w:numPr>
        <w:tabs>
          <w:tab w:val="left" w:pos="900"/>
        </w:tabs>
        <w:spacing w:line="380" w:lineRule="atLeast"/>
        <w:ind w:left="1620" w:hanging="769"/>
        <w:rPr>
          <w:rFonts w:eastAsia="楷体_GB2312"/>
          <w:sz w:val="24"/>
        </w:rPr>
      </w:pPr>
      <w:r>
        <w:rPr>
          <w:rFonts w:eastAsia="楷体_GB2312"/>
          <w:sz w:val="24"/>
        </w:rPr>
        <w:t>“委托人”为“交易文件”项下交易或与之有关的目的，在“信托财产交付日”之前提供给“受托人”、“法律顾问”、“会计顾问/税务顾问”、“评级机构”</w:t>
      </w:r>
      <w:r>
        <w:rPr>
          <w:rFonts w:hint="eastAsia" w:eastAsia="楷体_GB2312"/>
          <w:sz w:val="24"/>
        </w:rPr>
        <w:t>、</w:t>
      </w:r>
      <w:r>
        <w:rPr>
          <w:rFonts w:eastAsia="楷体_GB2312"/>
          <w:sz w:val="24"/>
        </w:rPr>
        <w:t>“评估机构”或“承销商”的所有书面信息（如有，该等信息在“信托财产交付日”之前可能已被更新或补充），以及“委托人”在“信托财产交付日”之后提供给“受托人”、“法律顾问”、“评级机构”、“审计师”或“资产支持证券持有人”的所有书面信息（如有），在该等信息陈述或确认之日在所有重大方面均真实、完整和准确；</w:t>
      </w:r>
    </w:p>
    <w:p w14:paraId="50D3BF09">
      <w:pPr>
        <w:tabs>
          <w:tab w:val="left" w:pos="1571"/>
        </w:tabs>
        <w:spacing w:line="380" w:lineRule="atLeast"/>
        <w:ind w:left="1620"/>
        <w:rPr>
          <w:rFonts w:eastAsia="楷体_GB2312"/>
          <w:sz w:val="24"/>
        </w:rPr>
      </w:pPr>
    </w:p>
    <w:p w14:paraId="665489E5">
      <w:pPr>
        <w:numPr>
          <w:ilvl w:val="2"/>
          <w:numId w:val="4"/>
        </w:numPr>
        <w:tabs>
          <w:tab w:val="left" w:pos="900"/>
        </w:tabs>
        <w:spacing w:line="380" w:lineRule="atLeast"/>
        <w:ind w:left="1620" w:hanging="769"/>
        <w:rPr>
          <w:rFonts w:eastAsia="楷体_GB2312"/>
          <w:sz w:val="24"/>
        </w:rPr>
      </w:pPr>
      <w:r>
        <w:rPr>
          <w:rFonts w:eastAsia="楷体_GB2312"/>
          <w:sz w:val="24"/>
        </w:rPr>
        <w:t>“委托人”签署、交付和履行本合同以及根据本合同设立“信托”和转让全部“信贷资产”均系商业行为，并非公共或政府行为；“委托人”及“信贷资产”在“中国法律”项下对于法律程序文件的送达、管辖权、诉讼、仲裁、判决、仲裁裁决、抵销、反请求、强制执行判决、查封财产（无论是在诉讼前还是之后为执行判决）以及其他法律程序均不享有任何豁免权；</w:t>
      </w:r>
    </w:p>
    <w:p w14:paraId="543AF6EC">
      <w:pPr>
        <w:tabs>
          <w:tab w:val="left" w:pos="2160"/>
        </w:tabs>
        <w:spacing w:line="380" w:lineRule="atLeast"/>
        <w:ind w:left="1080"/>
        <w:rPr>
          <w:rFonts w:eastAsia="楷体_GB2312"/>
          <w:sz w:val="24"/>
        </w:rPr>
      </w:pPr>
    </w:p>
    <w:p w14:paraId="751FA8AD">
      <w:pPr>
        <w:numPr>
          <w:ilvl w:val="2"/>
          <w:numId w:val="4"/>
        </w:numPr>
        <w:tabs>
          <w:tab w:val="left" w:pos="900"/>
        </w:tabs>
        <w:spacing w:line="380" w:lineRule="atLeast"/>
        <w:ind w:left="1620" w:hanging="769"/>
        <w:rPr>
          <w:rFonts w:eastAsia="楷体_GB2312"/>
          <w:sz w:val="24"/>
        </w:rPr>
      </w:pPr>
      <w:r>
        <w:rPr>
          <w:rFonts w:eastAsia="楷体_GB2312"/>
          <w:sz w:val="24"/>
        </w:rPr>
        <w:t>“委托人”将“信贷资产”信托予或转让给“受托人”所得的对价不严重偏离“信贷资产”的公允价值，并且本合同项下的交易不会对“委托人”的任何第三方债权人的任何权利和正当利益产生“重大不利影响”；</w:t>
      </w:r>
    </w:p>
    <w:p w14:paraId="5A96F918">
      <w:pPr>
        <w:tabs>
          <w:tab w:val="left" w:pos="2160"/>
        </w:tabs>
        <w:spacing w:line="380" w:lineRule="atLeast"/>
        <w:ind w:left="1080"/>
        <w:rPr>
          <w:rFonts w:eastAsia="楷体_GB2312"/>
          <w:sz w:val="24"/>
        </w:rPr>
      </w:pPr>
    </w:p>
    <w:p w14:paraId="6CDEFE7C">
      <w:pPr>
        <w:numPr>
          <w:ilvl w:val="2"/>
          <w:numId w:val="4"/>
        </w:numPr>
        <w:tabs>
          <w:tab w:val="left" w:pos="900"/>
        </w:tabs>
        <w:spacing w:line="380" w:lineRule="atLeast"/>
        <w:ind w:left="1620" w:hanging="769"/>
        <w:rPr>
          <w:rFonts w:eastAsia="楷体_GB2312"/>
          <w:sz w:val="24"/>
        </w:rPr>
      </w:pPr>
      <w:r>
        <w:rPr>
          <w:rFonts w:eastAsia="楷体_GB2312"/>
          <w:sz w:val="24"/>
        </w:rPr>
        <w:t>“委托人”确信，在选择“信贷资产”过程中，未使用或将不会使用任何会对“资产支持证券持有人”的合法或正当利益产生“重大不利影响”的筛选程序；</w:t>
      </w:r>
    </w:p>
    <w:p w14:paraId="41D5C30C">
      <w:pPr>
        <w:tabs>
          <w:tab w:val="left" w:pos="2160"/>
        </w:tabs>
        <w:spacing w:line="380" w:lineRule="atLeast"/>
        <w:ind w:left="1080"/>
        <w:rPr>
          <w:rFonts w:eastAsia="楷体_GB2312"/>
          <w:sz w:val="24"/>
        </w:rPr>
      </w:pPr>
    </w:p>
    <w:p w14:paraId="40A881B2">
      <w:pPr>
        <w:numPr>
          <w:ilvl w:val="2"/>
          <w:numId w:val="4"/>
        </w:numPr>
        <w:tabs>
          <w:tab w:val="left" w:pos="900"/>
        </w:tabs>
        <w:spacing w:line="380" w:lineRule="atLeast"/>
        <w:ind w:left="1620" w:hanging="769"/>
        <w:rPr>
          <w:rFonts w:eastAsia="楷体_GB2312"/>
          <w:sz w:val="24"/>
        </w:rPr>
      </w:pPr>
      <w:r>
        <w:rPr>
          <w:rFonts w:eastAsia="楷体_GB2312"/>
          <w:sz w:val="24"/>
        </w:rPr>
        <w:t>“委托人”参与的其他任何交易不会对本合同和其他“交易文件”项下所约定的交易以及“受托人”关于“信托财产”及在“交易文件”项下的权利或利益造成“重大不利影响”；</w:t>
      </w:r>
    </w:p>
    <w:p w14:paraId="1B845771">
      <w:pPr>
        <w:tabs>
          <w:tab w:val="left" w:pos="2160"/>
        </w:tabs>
        <w:spacing w:line="380" w:lineRule="atLeast"/>
        <w:ind w:left="1080"/>
        <w:rPr>
          <w:rFonts w:eastAsia="楷体_GB2312"/>
          <w:sz w:val="24"/>
        </w:rPr>
      </w:pPr>
    </w:p>
    <w:p w14:paraId="3F1B525B">
      <w:pPr>
        <w:numPr>
          <w:ilvl w:val="2"/>
          <w:numId w:val="4"/>
        </w:numPr>
        <w:tabs>
          <w:tab w:val="left" w:pos="900"/>
        </w:tabs>
        <w:spacing w:line="380" w:lineRule="atLeast"/>
        <w:ind w:left="1620" w:hanging="769"/>
        <w:rPr>
          <w:rFonts w:eastAsia="楷体_GB2312"/>
          <w:sz w:val="24"/>
        </w:rPr>
      </w:pPr>
      <w:r>
        <w:rPr>
          <w:rFonts w:eastAsia="楷体_GB2312"/>
          <w:sz w:val="24"/>
        </w:rPr>
        <w:t>“委托人”的计算机管理信息系统能定期准确地依据“借款人”提供的信息产生关于“信贷资产”及相关“借款人”总体履约情况的统计信息；</w:t>
      </w:r>
    </w:p>
    <w:p w14:paraId="163351C4">
      <w:pPr>
        <w:tabs>
          <w:tab w:val="left" w:pos="2160"/>
        </w:tabs>
        <w:spacing w:line="380" w:lineRule="atLeast"/>
        <w:ind w:left="1080"/>
        <w:rPr>
          <w:rFonts w:eastAsia="楷体_GB2312"/>
          <w:sz w:val="24"/>
        </w:rPr>
      </w:pPr>
    </w:p>
    <w:p w14:paraId="49D48479">
      <w:pPr>
        <w:numPr>
          <w:ilvl w:val="2"/>
          <w:numId w:val="4"/>
        </w:numPr>
        <w:tabs>
          <w:tab w:val="left" w:pos="900"/>
        </w:tabs>
        <w:spacing w:line="380" w:lineRule="atLeast"/>
        <w:ind w:left="1620" w:hanging="769"/>
        <w:rPr>
          <w:rFonts w:eastAsia="楷体_GB2312"/>
          <w:sz w:val="24"/>
        </w:rPr>
      </w:pPr>
      <w:r>
        <w:rPr>
          <w:rFonts w:eastAsia="楷体_GB2312"/>
          <w:sz w:val="24"/>
        </w:rPr>
        <w:t>“委托人”将“信贷资产”信托和转让给“受托人”的行为，不违反“中国法律”的相关规定；</w:t>
      </w:r>
    </w:p>
    <w:p w14:paraId="78EAFF9A">
      <w:pPr>
        <w:tabs>
          <w:tab w:val="left" w:pos="2160"/>
        </w:tabs>
        <w:spacing w:line="380" w:lineRule="atLeast"/>
        <w:ind w:left="1080"/>
        <w:rPr>
          <w:rFonts w:eastAsia="楷体_GB2312"/>
          <w:sz w:val="24"/>
        </w:rPr>
      </w:pPr>
    </w:p>
    <w:p w14:paraId="6A5CBB7E">
      <w:pPr>
        <w:numPr>
          <w:ilvl w:val="2"/>
          <w:numId w:val="4"/>
        </w:numPr>
        <w:tabs>
          <w:tab w:val="left" w:pos="900"/>
        </w:tabs>
        <w:spacing w:line="380" w:lineRule="atLeast"/>
        <w:ind w:left="1620" w:hanging="769"/>
        <w:rPr>
          <w:rFonts w:eastAsia="楷体_GB2312"/>
          <w:sz w:val="24"/>
        </w:rPr>
      </w:pPr>
      <w:r>
        <w:rPr>
          <w:rFonts w:eastAsia="楷体_GB2312"/>
          <w:sz w:val="24"/>
        </w:rPr>
        <w:t>在“信托财产交付日”，“委托人”交付的“信贷资产”实质上不构成“委托人”在该日的全部资产；</w:t>
      </w:r>
    </w:p>
    <w:p w14:paraId="0291B70E">
      <w:pPr>
        <w:tabs>
          <w:tab w:val="left" w:pos="2160"/>
        </w:tabs>
        <w:spacing w:line="380" w:lineRule="atLeast"/>
        <w:ind w:left="1080"/>
        <w:rPr>
          <w:rFonts w:eastAsia="楷体_GB2312"/>
          <w:sz w:val="24"/>
        </w:rPr>
      </w:pPr>
    </w:p>
    <w:p w14:paraId="2B28453E">
      <w:pPr>
        <w:numPr>
          <w:ilvl w:val="2"/>
          <w:numId w:val="4"/>
        </w:numPr>
        <w:tabs>
          <w:tab w:val="left" w:pos="900"/>
        </w:tabs>
        <w:spacing w:line="380" w:lineRule="atLeast"/>
        <w:ind w:left="1620" w:hanging="769"/>
        <w:rPr>
          <w:rFonts w:eastAsia="楷体_GB2312"/>
          <w:sz w:val="24"/>
        </w:rPr>
      </w:pPr>
      <w:r>
        <w:rPr>
          <w:rFonts w:eastAsia="楷体_GB2312"/>
          <w:sz w:val="24"/>
        </w:rPr>
        <w:t>在“信托财产交付日”当日，没有因“委托人”的原因而导致的“违约事件”发生；</w:t>
      </w:r>
    </w:p>
    <w:p w14:paraId="42F514FF">
      <w:pPr>
        <w:tabs>
          <w:tab w:val="left" w:pos="2160"/>
        </w:tabs>
        <w:spacing w:line="380" w:lineRule="atLeast"/>
        <w:ind w:left="1080"/>
        <w:rPr>
          <w:rFonts w:eastAsia="楷体_GB2312"/>
          <w:sz w:val="24"/>
        </w:rPr>
      </w:pPr>
    </w:p>
    <w:p w14:paraId="4F335154">
      <w:pPr>
        <w:numPr>
          <w:ilvl w:val="2"/>
          <w:numId w:val="4"/>
        </w:numPr>
        <w:tabs>
          <w:tab w:val="left" w:pos="900"/>
        </w:tabs>
        <w:spacing w:line="380" w:lineRule="atLeast"/>
        <w:ind w:left="1620" w:hanging="769"/>
        <w:rPr>
          <w:rFonts w:eastAsia="楷体_GB2312"/>
          <w:sz w:val="24"/>
        </w:rPr>
      </w:pPr>
      <w:r>
        <w:rPr>
          <w:rFonts w:eastAsia="楷体_GB2312"/>
          <w:sz w:val="24"/>
        </w:rPr>
        <w:t>“信托”的设立不会损害任何被信托的“信贷资产”项下可对“借款人”主张的权利；</w:t>
      </w:r>
    </w:p>
    <w:p w14:paraId="7EC3E36C">
      <w:pPr>
        <w:tabs>
          <w:tab w:val="left" w:pos="2160"/>
        </w:tabs>
        <w:spacing w:line="380" w:lineRule="atLeast"/>
        <w:ind w:left="1080"/>
        <w:rPr>
          <w:rFonts w:eastAsia="楷体_GB2312"/>
          <w:sz w:val="24"/>
        </w:rPr>
      </w:pPr>
    </w:p>
    <w:p w14:paraId="3BF89341">
      <w:pPr>
        <w:numPr>
          <w:ilvl w:val="2"/>
          <w:numId w:val="4"/>
        </w:numPr>
        <w:tabs>
          <w:tab w:val="left" w:pos="900"/>
        </w:tabs>
        <w:spacing w:line="380" w:lineRule="atLeast"/>
        <w:ind w:left="1620" w:hanging="769"/>
        <w:rPr>
          <w:rFonts w:eastAsia="楷体_GB2312"/>
          <w:sz w:val="24"/>
        </w:rPr>
      </w:pPr>
      <w:r>
        <w:rPr>
          <w:rFonts w:eastAsia="楷体_GB2312"/>
          <w:sz w:val="24"/>
        </w:rPr>
        <w:t>设立“信托”的目的不违反“中国法律”或者损害社会公共利益；以及</w:t>
      </w:r>
    </w:p>
    <w:p w14:paraId="4A36098B">
      <w:pPr>
        <w:tabs>
          <w:tab w:val="left" w:pos="2160"/>
        </w:tabs>
        <w:spacing w:line="380" w:lineRule="atLeast"/>
        <w:ind w:left="1080"/>
        <w:rPr>
          <w:rFonts w:eastAsia="楷体_GB2312"/>
          <w:sz w:val="24"/>
        </w:rPr>
      </w:pPr>
    </w:p>
    <w:p w14:paraId="1618E6AD">
      <w:pPr>
        <w:numPr>
          <w:ilvl w:val="2"/>
          <w:numId w:val="4"/>
        </w:numPr>
        <w:tabs>
          <w:tab w:val="left" w:pos="900"/>
        </w:tabs>
        <w:spacing w:line="380" w:lineRule="atLeast"/>
        <w:ind w:left="1620" w:hanging="769"/>
        <w:rPr>
          <w:rFonts w:eastAsia="楷体_GB2312"/>
          <w:sz w:val="24"/>
        </w:rPr>
      </w:pPr>
      <w:r>
        <w:rPr>
          <w:rFonts w:eastAsia="楷体_GB2312"/>
          <w:sz w:val="24"/>
        </w:rPr>
        <w:t>“信托”并非专为诉讼或讨债而设立。</w:t>
      </w:r>
    </w:p>
    <w:p w14:paraId="545631C5">
      <w:pPr>
        <w:pStyle w:val="39"/>
        <w:spacing w:after="0" w:line="380" w:lineRule="atLeast"/>
        <w:ind w:left="180"/>
        <w:rPr>
          <w:rFonts w:eastAsia="楷体_GB2312"/>
          <w:lang w:eastAsia="zh-CN"/>
        </w:rPr>
      </w:pPr>
    </w:p>
    <w:p w14:paraId="09C031E1">
      <w:pPr>
        <w:numPr>
          <w:ilvl w:val="1"/>
          <w:numId w:val="4"/>
        </w:numPr>
        <w:tabs>
          <w:tab w:val="left" w:pos="900"/>
        </w:tabs>
        <w:spacing w:line="380" w:lineRule="atLeast"/>
        <w:outlineLvl w:val="1"/>
        <w:rPr>
          <w:rFonts w:eastAsia="楷体_GB2312"/>
          <w:b/>
          <w:sz w:val="24"/>
        </w:rPr>
      </w:pPr>
      <w:bookmarkStart w:id="156" w:name="_Ref51415377"/>
      <w:r>
        <w:rPr>
          <w:rFonts w:eastAsia="楷体_GB2312"/>
          <w:b/>
          <w:sz w:val="24"/>
        </w:rPr>
        <w:t>资产保证</w:t>
      </w:r>
      <w:bookmarkEnd w:id="156"/>
    </w:p>
    <w:p w14:paraId="2D463A04">
      <w:pPr>
        <w:spacing w:line="380" w:lineRule="atLeast"/>
        <w:ind w:left="420" w:firstLine="420"/>
        <w:rPr>
          <w:rFonts w:eastAsia="楷体_GB2312"/>
          <w:b/>
          <w:i/>
          <w:iCs/>
          <w:sz w:val="24"/>
        </w:rPr>
      </w:pPr>
      <w:r>
        <w:rPr>
          <w:rFonts w:hint="eastAsia" w:eastAsia="楷体_GB2312"/>
          <w:b/>
          <w:i/>
          <w:iCs/>
          <w:color w:val="FF0000"/>
          <w:sz w:val="24"/>
        </w:rPr>
        <w:t>【注：资产保证可根据具体项目情况调整或删除。】</w:t>
      </w:r>
    </w:p>
    <w:p w14:paraId="7A2C648C">
      <w:pPr>
        <w:tabs>
          <w:tab w:val="left" w:pos="1620"/>
        </w:tabs>
        <w:spacing w:line="380" w:lineRule="atLeast"/>
        <w:rPr>
          <w:rFonts w:eastAsia="楷体_GB2312"/>
          <w:sz w:val="24"/>
        </w:rPr>
      </w:pPr>
    </w:p>
    <w:p w14:paraId="141A3870">
      <w:pPr>
        <w:spacing w:line="380" w:lineRule="atLeast"/>
        <w:ind w:left="912" w:leftChars="456"/>
        <w:rPr>
          <w:rFonts w:eastAsia="楷体_GB2312"/>
          <w:color w:val="000000"/>
          <w:sz w:val="24"/>
        </w:rPr>
      </w:pPr>
      <w:r>
        <w:rPr>
          <w:rFonts w:eastAsia="楷体_GB2312"/>
          <w:sz w:val="24"/>
        </w:rPr>
        <w:t>为本合同其他各方的利益，“委托人”于“初始起算日”和“信托财产交付日”（除非具体条款中另有明确约定）就其向“受托人”交付的每一笔“信贷资产”的状况，作出陈述和保证如下：</w:t>
      </w:r>
    </w:p>
    <w:p w14:paraId="4CF3D19D">
      <w:pPr>
        <w:pStyle w:val="39"/>
        <w:spacing w:after="0" w:line="380" w:lineRule="atLeast"/>
        <w:rPr>
          <w:rFonts w:eastAsia="楷体_GB2312"/>
          <w:lang w:eastAsia="zh-CN"/>
        </w:rPr>
      </w:pPr>
    </w:p>
    <w:p w14:paraId="40BD6554">
      <w:pPr>
        <w:numPr>
          <w:ilvl w:val="2"/>
          <w:numId w:val="4"/>
        </w:numPr>
        <w:tabs>
          <w:tab w:val="left" w:pos="900"/>
        </w:tabs>
        <w:spacing w:line="380" w:lineRule="atLeast"/>
        <w:ind w:left="1620" w:hanging="769"/>
        <w:rPr>
          <w:rFonts w:eastAsia="楷体_GB2312"/>
          <w:sz w:val="24"/>
        </w:rPr>
      </w:pPr>
      <w:bookmarkStart w:id="157" w:name="_DV_M436"/>
      <w:bookmarkEnd w:id="157"/>
      <w:r>
        <w:rPr>
          <w:rFonts w:eastAsia="楷体_GB2312"/>
          <w:sz w:val="24"/>
        </w:rPr>
        <w:t>“委托人”是每一笔“信贷资产”的唯一债权人且拥有合法的请求权；“委托人”未向任何第三方转让该等权利或利益；且“委托人”未对该等权利或利益设定任何担保权益、抵质押或任何其他财产负担；</w:t>
      </w:r>
    </w:p>
    <w:p w14:paraId="3CE51391">
      <w:pPr>
        <w:tabs>
          <w:tab w:val="left" w:pos="2160"/>
        </w:tabs>
        <w:spacing w:line="380" w:lineRule="atLeast"/>
        <w:ind w:left="1080"/>
        <w:rPr>
          <w:rFonts w:eastAsia="楷体_GB2312"/>
          <w:sz w:val="24"/>
        </w:rPr>
      </w:pPr>
    </w:p>
    <w:p w14:paraId="3B2C8987">
      <w:pPr>
        <w:numPr>
          <w:ilvl w:val="2"/>
          <w:numId w:val="4"/>
        </w:numPr>
        <w:tabs>
          <w:tab w:val="left" w:pos="900"/>
        </w:tabs>
        <w:spacing w:line="380" w:lineRule="atLeast"/>
        <w:ind w:left="1620" w:hanging="769"/>
        <w:rPr>
          <w:rFonts w:eastAsia="楷体_GB2312"/>
          <w:sz w:val="24"/>
        </w:rPr>
      </w:pPr>
      <w:bookmarkStart w:id="158" w:name="_DV_M437"/>
      <w:bookmarkEnd w:id="158"/>
      <w:r>
        <w:rPr>
          <w:rFonts w:eastAsia="楷体_GB2312"/>
          <w:sz w:val="24"/>
        </w:rPr>
        <w:t>每一笔“信贷资产”均符合本合同第</w:t>
      </w:r>
      <w:r>
        <w:rPr>
          <w:rFonts w:eastAsia="楷体_GB2312"/>
          <w:sz w:val="24"/>
        </w:rPr>
        <w:fldChar w:fldCharType="begin"/>
      </w:r>
      <w:r>
        <w:rPr>
          <w:rFonts w:eastAsia="楷体_GB2312"/>
          <w:sz w:val="24"/>
        </w:rPr>
        <w:instrText xml:space="preserve"> REF _Ref111021949 \r \h </w:instrText>
      </w:r>
      <w:r>
        <w:rPr>
          <w:rFonts w:eastAsia="楷体_GB2312"/>
          <w:sz w:val="24"/>
        </w:rPr>
        <w:fldChar w:fldCharType="separate"/>
      </w:r>
      <w:r>
        <w:rPr>
          <w:rFonts w:eastAsia="楷体_GB2312"/>
          <w:sz w:val="24"/>
        </w:rPr>
        <w:t>3.7</w:t>
      </w:r>
      <w:r>
        <w:rPr>
          <w:rFonts w:eastAsia="楷体_GB2312"/>
          <w:sz w:val="24"/>
        </w:rPr>
        <w:fldChar w:fldCharType="end"/>
      </w:r>
      <w:r>
        <w:rPr>
          <w:rFonts w:eastAsia="楷体_GB2312"/>
          <w:sz w:val="24"/>
        </w:rPr>
        <w:t>款所约定的范围、种类、“合格标准”、状况；</w:t>
      </w:r>
    </w:p>
    <w:p w14:paraId="36A4D071">
      <w:pPr>
        <w:tabs>
          <w:tab w:val="left" w:pos="2160"/>
        </w:tabs>
        <w:spacing w:line="380" w:lineRule="atLeast"/>
        <w:ind w:left="1080"/>
        <w:rPr>
          <w:rFonts w:eastAsia="楷体_GB2312"/>
          <w:sz w:val="24"/>
        </w:rPr>
      </w:pPr>
    </w:p>
    <w:p w14:paraId="6BDD5511">
      <w:pPr>
        <w:numPr>
          <w:ilvl w:val="2"/>
          <w:numId w:val="4"/>
        </w:numPr>
        <w:tabs>
          <w:tab w:val="left" w:pos="900"/>
        </w:tabs>
        <w:spacing w:line="380" w:lineRule="atLeast"/>
        <w:ind w:left="1620" w:hanging="769"/>
        <w:rPr>
          <w:rFonts w:eastAsia="楷体_GB2312"/>
          <w:sz w:val="24"/>
        </w:rPr>
      </w:pPr>
      <w:r>
        <w:rPr>
          <w:rFonts w:eastAsia="楷体_GB2312"/>
          <w:sz w:val="24"/>
        </w:rPr>
        <w:t>据“委托人”所知，“委托人”已向“受托人”提供关于“委托人”转让的“信贷资产”的必要的资料和信息，且该等资料和信息在所有可能对债权回收的实现有重大影响的方面均真实、准确和完整；</w:t>
      </w:r>
    </w:p>
    <w:p w14:paraId="25155B19">
      <w:pPr>
        <w:tabs>
          <w:tab w:val="left" w:pos="2160"/>
        </w:tabs>
        <w:spacing w:line="380" w:lineRule="atLeast"/>
        <w:ind w:left="1080"/>
        <w:rPr>
          <w:rFonts w:eastAsia="楷体_GB2312"/>
          <w:sz w:val="24"/>
        </w:rPr>
      </w:pPr>
    </w:p>
    <w:p w14:paraId="3F54938A">
      <w:pPr>
        <w:numPr>
          <w:ilvl w:val="2"/>
          <w:numId w:val="4"/>
        </w:numPr>
        <w:tabs>
          <w:tab w:val="left" w:pos="900"/>
        </w:tabs>
        <w:spacing w:line="380" w:lineRule="atLeast"/>
        <w:ind w:left="1620" w:hanging="769"/>
        <w:rPr>
          <w:rFonts w:eastAsia="楷体_GB2312"/>
          <w:sz w:val="24"/>
        </w:rPr>
      </w:pPr>
      <w:r>
        <w:rPr>
          <w:rFonts w:eastAsia="楷体_GB2312"/>
          <w:sz w:val="24"/>
        </w:rPr>
        <w:t>在“信托财产交付日”，“受托人”将成为“信托财产”中各“信贷资产”的唯一债权人且拥有合法的请求权；该权利将依法完善以具有对抗“借款人”、“担保人”（如有）的效力，并且“受托人”将对与“信贷资产”有关的任何文件、记录和数据，拥有完整的、不受妨碍和唯一合法的所有权，本合同第</w:t>
      </w:r>
      <w:r>
        <w:rPr>
          <w:rFonts w:eastAsia="楷体_GB2312"/>
          <w:sz w:val="24"/>
        </w:rPr>
        <w:fldChar w:fldCharType="begin"/>
      </w:r>
      <w:r>
        <w:rPr>
          <w:rFonts w:eastAsia="楷体_GB2312"/>
          <w:sz w:val="24"/>
        </w:rPr>
        <w:instrText xml:space="preserve"> REF _Ref51330570 \r \h </w:instrText>
      </w:r>
      <w:r>
        <w:rPr>
          <w:rFonts w:eastAsia="楷体_GB2312"/>
          <w:sz w:val="24"/>
        </w:rPr>
        <w:fldChar w:fldCharType="separate"/>
      </w:r>
      <w:r>
        <w:rPr>
          <w:rFonts w:eastAsia="楷体_GB2312"/>
          <w:sz w:val="24"/>
        </w:rPr>
        <w:t>3.9</w:t>
      </w:r>
      <w:r>
        <w:rPr>
          <w:rFonts w:eastAsia="楷体_GB2312"/>
          <w:sz w:val="24"/>
        </w:rPr>
        <w:fldChar w:fldCharType="end"/>
      </w:r>
      <w:r>
        <w:rPr>
          <w:rFonts w:eastAsia="楷体_GB2312"/>
          <w:sz w:val="24"/>
        </w:rPr>
        <w:t>款另有约定的除外；“委托人”作为一方的“交易文件”项下的任何交易（包括但不限于“信托财产”的转移）均不构成欺诈性的让与；</w:t>
      </w:r>
    </w:p>
    <w:p w14:paraId="2AACFD96">
      <w:pPr>
        <w:spacing w:line="380" w:lineRule="atLeast"/>
        <w:ind w:left="1620"/>
        <w:rPr>
          <w:rFonts w:eastAsia="楷体_GB2312"/>
          <w:sz w:val="24"/>
        </w:rPr>
      </w:pPr>
    </w:p>
    <w:p w14:paraId="49891EE9">
      <w:pPr>
        <w:numPr>
          <w:ilvl w:val="2"/>
          <w:numId w:val="4"/>
        </w:numPr>
        <w:tabs>
          <w:tab w:val="left" w:pos="900"/>
        </w:tabs>
        <w:spacing w:line="380" w:lineRule="atLeast"/>
        <w:ind w:left="1620" w:hanging="769"/>
        <w:rPr>
          <w:rFonts w:eastAsia="楷体_GB2312"/>
          <w:sz w:val="24"/>
        </w:rPr>
      </w:pPr>
      <w:r>
        <w:rPr>
          <w:rFonts w:eastAsia="楷体_GB2312"/>
          <w:sz w:val="24"/>
        </w:rPr>
        <w:t>每位“借款人”履行“《借款合同》”项下义务的所有先决条件均已得到满足；</w:t>
      </w:r>
    </w:p>
    <w:p w14:paraId="2C73AC0F">
      <w:pPr>
        <w:tabs>
          <w:tab w:val="left" w:pos="2160"/>
        </w:tabs>
        <w:spacing w:line="380" w:lineRule="atLeast"/>
        <w:ind w:left="1080"/>
        <w:rPr>
          <w:rFonts w:eastAsia="楷体_GB2312"/>
          <w:sz w:val="24"/>
        </w:rPr>
      </w:pPr>
    </w:p>
    <w:p w14:paraId="6C9C8600">
      <w:pPr>
        <w:numPr>
          <w:ilvl w:val="2"/>
          <w:numId w:val="4"/>
        </w:numPr>
        <w:tabs>
          <w:tab w:val="left" w:pos="900"/>
        </w:tabs>
        <w:spacing w:line="380" w:lineRule="atLeast"/>
        <w:ind w:left="1620" w:hanging="769"/>
        <w:rPr>
          <w:rFonts w:eastAsia="楷体_GB2312"/>
          <w:sz w:val="24"/>
        </w:rPr>
      </w:pPr>
      <w:r>
        <w:rPr>
          <w:rFonts w:eastAsia="楷体_GB2312"/>
          <w:sz w:val="24"/>
        </w:rPr>
        <w:t>除“交易文件”约定的以外，“委托人”未就其在任何或部分“信贷资产”中或与任何或部分“信贷资产”有关的所有权及相关权益，给予或同意给予任何第三方对“信贷资产”的回收产生“重大不利影响”的选择权；也未处置或同意任何第三方处置其在任何或部分“信贷资产”中或与任何或部分“信贷资产”有关的所有权及相关权益；</w:t>
      </w:r>
    </w:p>
    <w:p w14:paraId="4BCDA3F0">
      <w:pPr>
        <w:tabs>
          <w:tab w:val="left" w:pos="2160"/>
        </w:tabs>
        <w:spacing w:line="380" w:lineRule="atLeast"/>
        <w:ind w:left="1080"/>
        <w:rPr>
          <w:rFonts w:eastAsia="楷体_GB2312"/>
          <w:sz w:val="24"/>
        </w:rPr>
      </w:pPr>
    </w:p>
    <w:p w14:paraId="2B17046E">
      <w:pPr>
        <w:numPr>
          <w:ilvl w:val="2"/>
          <w:numId w:val="4"/>
        </w:numPr>
        <w:tabs>
          <w:tab w:val="left" w:pos="900"/>
        </w:tabs>
        <w:spacing w:line="380" w:lineRule="atLeast"/>
        <w:ind w:left="1620" w:hanging="769"/>
        <w:rPr>
          <w:rFonts w:eastAsia="楷体_GB2312"/>
          <w:sz w:val="24"/>
        </w:rPr>
      </w:pPr>
      <w:r>
        <w:rPr>
          <w:rFonts w:eastAsia="楷体_GB2312"/>
          <w:sz w:val="24"/>
        </w:rPr>
        <w:t>“委托人”对每笔“信贷资产”享有的所有权并非是无效的或已被撤销、宣布无效或被废止，亦不能被撤销、宣布无效或被废止；</w:t>
      </w:r>
    </w:p>
    <w:p w14:paraId="2D11CC6D">
      <w:pPr>
        <w:tabs>
          <w:tab w:val="left" w:pos="2160"/>
        </w:tabs>
        <w:spacing w:line="380" w:lineRule="atLeast"/>
        <w:ind w:left="1080"/>
        <w:rPr>
          <w:rFonts w:eastAsia="楷体_GB2312"/>
          <w:sz w:val="24"/>
        </w:rPr>
      </w:pPr>
    </w:p>
    <w:p w14:paraId="1EDC2A9F">
      <w:pPr>
        <w:numPr>
          <w:ilvl w:val="2"/>
          <w:numId w:val="4"/>
        </w:numPr>
        <w:tabs>
          <w:tab w:val="left" w:pos="900"/>
        </w:tabs>
        <w:spacing w:line="380" w:lineRule="atLeast"/>
        <w:ind w:left="1620" w:hanging="769"/>
        <w:rPr>
          <w:rFonts w:eastAsia="楷体_GB2312"/>
          <w:sz w:val="24"/>
        </w:rPr>
      </w:pPr>
      <w:r>
        <w:rPr>
          <w:rFonts w:eastAsia="楷体_GB2312"/>
          <w:sz w:val="24"/>
        </w:rPr>
        <w:t>“委托人”出售、转让和转移其在“信托财产”中的所有权和其他有关权益的权利不受任何限制；任何“信贷资产”（或其任何部分）均不是其他证券化交易的对象，且不曾被“委托人”出售、转让、质押、转移或以任何方式处置，以致使“委托人”出售、转让和转移其在“信贷资产”中的所有权和其他有关权益的权利受到任何限制；</w:t>
      </w:r>
    </w:p>
    <w:p w14:paraId="7F5BD200">
      <w:pPr>
        <w:tabs>
          <w:tab w:val="left" w:pos="2160"/>
        </w:tabs>
        <w:spacing w:line="380" w:lineRule="atLeast"/>
        <w:ind w:left="1080"/>
        <w:rPr>
          <w:rFonts w:eastAsia="楷体_GB2312"/>
          <w:sz w:val="24"/>
        </w:rPr>
      </w:pPr>
    </w:p>
    <w:p w14:paraId="00944BB4">
      <w:pPr>
        <w:numPr>
          <w:ilvl w:val="2"/>
          <w:numId w:val="4"/>
        </w:numPr>
        <w:tabs>
          <w:tab w:val="left" w:pos="900"/>
        </w:tabs>
        <w:spacing w:line="380" w:lineRule="atLeast"/>
        <w:ind w:left="1620" w:hanging="769"/>
        <w:rPr>
          <w:rFonts w:eastAsia="楷体_GB2312"/>
          <w:sz w:val="24"/>
        </w:rPr>
      </w:pPr>
      <w:r>
        <w:rPr>
          <w:rFonts w:eastAsia="楷体_GB2312"/>
          <w:sz w:val="24"/>
        </w:rPr>
        <w:t>除已取得或作出且现行有效的“政府机构”的批准、许可、授权、备案、登记、记录或其他手续以外，不需要其他“政府机构”的批准、许可、授权、备案、登记、记录或其他手续，以确保与“信贷资产”相关的任何文件的有效性、可执行性或作为证据的可接受性，但根据本合同第</w:t>
      </w:r>
      <w:r>
        <w:rPr>
          <w:rFonts w:eastAsia="楷体_GB2312"/>
          <w:sz w:val="24"/>
        </w:rPr>
        <w:fldChar w:fldCharType="begin"/>
      </w:r>
      <w:r>
        <w:rPr>
          <w:rFonts w:eastAsia="楷体_GB2312"/>
          <w:sz w:val="24"/>
        </w:rPr>
        <w:instrText xml:space="preserve"> REF _Ref53675020 \r \h </w:instrText>
      </w:r>
      <w:r>
        <w:rPr>
          <w:rFonts w:eastAsia="楷体_GB2312"/>
          <w:sz w:val="24"/>
        </w:rPr>
        <w:fldChar w:fldCharType="separate"/>
      </w:r>
      <w:r>
        <w:rPr>
          <w:rFonts w:eastAsia="楷体_GB2312"/>
          <w:sz w:val="24"/>
        </w:rPr>
        <w:t>3.9.6</w:t>
      </w:r>
      <w:r>
        <w:rPr>
          <w:rFonts w:eastAsia="楷体_GB2312"/>
          <w:sz w:val="24"/>
        </w:rPr>
        <w:fldChar w:fldCharType="end"/>
      </w:r>
      <w:r>
        <w:rPr>
          <w:rFonts w:eastAsia="楷体_GB2312"/>
          <w:sz w:val="24"/>
        </w:rPr>
        <w:t>款约定须办理的“抵押权”、“质权”转移登记及</w:t>
      </w:r>
      <w:r>
        <w:rPr>
          <w:rFonts w:eastAsia="楷体_GB2312"/>
          <w:color w:val="000000"/>
          <w:w w:val="0"/>
          <w:sz w:val="24"/>
        </w:rPr>
        <w:t>“委托人”应将其持有的“质押财产”（如有）和/或“质押财产”的权利凭证（如有）交付给“受托人”的手续</w:t>
      </w:r>
      <w:r>
        <w:rPr>
          <w:rFonts w:eastAsia="楷体_GB2312"/>
          <w:sz w:val="24"/>
        </w:rPr>
        <w:t>除外；</w:t>
      </w:r>
    </w:p>
    <w:p w14:paraId="5428FC0D">
      <w:pPr>
        <w:tabs>
          <w:tab w:val="left" w:pos="2160"/>
        </w:tabs>
        <w:spacing w:line="380" w:lineRule="atLeast"/>
        <w:ind w:left="1080"/>
        <w:rPr>
          <w:rFonts w:eastAsia="楷体_GB2312"/>
          <w:sz w:val="24"/>
        </w:rPr>
      </w:pPr>
    </w:p>
    <w:p w14:paraId="435A5963">
      <w:pPr>
        <w:numPr>
          <w:ilvl w:val="2"/>
          <w:numId w:val="4"/>
        </w:numPr>
        <w:tabs>
          <w:tab w:val="left" w:pos="900"/>
        </w:tabs>
        <w:spacing w:line="380" w:lineRule="atLeast"/>
        <w:ind w:left="1620" w:hanging="769"/>
        <w:rPr>
          <w:rFonts w:eastAsia="楷体_GB2312"/>
          <w:sz w:val="24"/>
        </w:rPr>
      </w:pPr>
      <w:r>
        <w:rPr>
          <w:rFonts w:eastAsia="楷体_GB2312"/>
          <w:sz w:val="24"/>
        </w:rPr>
        <w:t>“信贷资产”由“委托人”在其一般经营过程中，按照其标准贷款程序和所有其他可适用的与“信贷资产”业务有关的政策、实践以及程序的要求而发放；</w:t>
      </w:r>
    </w:p>
    <w:p w14:paraId="7C240806">
      <w:pPr>
        <w:tabs>
          <w:tab w:val="left" w:pos="2160"/>
        </w:tabs>
        <w:spacing w:line="380" w:lineRule="atLeast"/>
        <w:ind w:left="1080"/>
        <w:rPr>
          <w:rFonts w:eastAsia="楷体_GB2312"/>
          <w:sz w:val="24"/>
        </w:rPr>
      </w:pPr>
    </w:p>
    <w:p w14:paraId="0D54BEF3">
      <w:pPr>
        <w:numPr>
          <w:ilvl w:val="2"/>
          <w:numId w:val="4"/>
        </w:numPr>
        <w:tabs>
          <w:tab w:val="left" w:pos="900"/>
        </w:tabs>
        <w:spacing w:line="380" w:lineRule="atLeast"/>
        <w:ind w:left="1620" w:hanging="769"/>
        <w:rPr>
          <w:rFonts w:eastAsia="楷体_GB2312"/>
          <w:sz w:val="24"/>
        </w:rPr>
      </w:pPr>
      <w:r>
        <w:rPr>
          <w:rFonts w:eastAsia="楷体_GB2312"/>
          <w:sz w:val="24"/>
        </w:rPr>
        <w:t>“贷款”的发放以及“附属权益”（如适用）的设定均符合“中国法律”的各项要求；</w:t>
      </w:r>
    </w:p>
    <w:p w14:paraId="072E31FE">
      <w:pPr>
        <w:tabs>
          <w:tab w:val="left" w:pos="2160"/>
        </w:tabs>
        <w:spacing w:line="380" w:lineRule="atLeast"/>
        <w:ind w:left="1080"/>
        <w:rPr>
          <w:rFonts w:eastAsia="楷体_GB2312"/>
          <w:sz w:val="24"/>
        </w:rPr>
      </w:pPr>
    </w:p>
    <w:p w14:paraId="12409C37">
      <w:pPr>
        <w:numPr>
          <w:ilvl w:val="2"/>
          <w:numId w:val="4"/>
        </w:numPr>
        <w:tabs>
          <w:tab w:val="left" w:pos="900"/>
        </w:tabs>
        <w:spacing w:line="380" w:lineRule="atLeast"/>
        <w:ind w:left="1620" w:hanging="769"/>
        <w:rPr>
          <w:rFonts w:eastAsia="楷体_GB2312"/>
          <w:sz w:val="24"/>
        </w:rPr>
      </w:pPr>
      <w:r>
        <w:rPr>
          <w:rFonts w:eastAsia="楷体_GB2312"/>
          <w:sz w:val="24"/>
        </w:rPr>
        <w:t>“委托人”将每笔“信贷资产”设立或转让给信托的行为，不会由于任何原因而被禁止或限制，且不需要获得“借款人”或任何其他“主体”的同意；</w:t>
      </w:r>
    </w:p>
    <w:p w14:paraId="53B5B3A2">
      <w:pPr>
        <w:tabs>
          <w:tab w:val="left" w:pos="2160"/>
        </w:tabs>
        <w:spacing w:line="380" w:lineRule="atLeast"/>
        <w:ind w:left="1080"/>
        <w:rPr>
          <w:rFonts w:eastAsia="楷体_GB2312"/>
          <w:sz w:val="24"/>
        </w:rPr>
      </w:pPr>
    </w:p>
    <w:p w14:paraId="7CB93CE4">
      <w:pPr>
        <w:numPr>
          <w:ilvl w:val="2"/>
          <w:numId w:val="4"/>
        </w:numPr>
        <w:tabs>
          <w:tab w:val="left" w:pos="900"/>
        </w:tabs>
        <w:spacing w:line="380" w:lineRule="atLeast"/>
        <w:ind w:left="1620" w:hanging="769"/>
        <w:rPr>
          <w:rFonts w:eastAsia="楷体_GB2312"/>
          <w:sz w:val="24"/>
        </w:rPr>
      </w:pPr>
      <w:r>
        <w:rPr>
          <w:rFonts w:eastAsia="楷体_GB2312"/>
          <w:sz w:val="24"/>
        </w:rPr>
        <w:t>每笔“信贷资产”是相关“借款人”、“担保人”（如有）合法、有效和有约束力的义务，并且可按照“《借款合同》”、“《担保合同》”（如有）的条款对该“借款人”、“担保人”（如有）主张权利；</w:t>
      </w:r>
    </w:p>
    <w:p w14:paraId="6961FE5F">
      <w:pPr>
        <w:tabs>
          <w:tab w:val="left" w:pos="2160"/>
        </w:tabs>
        <w:spacing w:line="380" w:lineRule="atLeast"/>
        <w:ind w:left="1080"/>
        <w:rPr>
          <w:rFonts w:eastAsia="楷体_GB2312"/>
          <w:sz w:val="24"/>
        </w:rPr>
      </w:pPr>
    </w:p>
    <w:p w14:paraId="6F6872FA">
      <w:pPr>
        <w:numPr>
          <w:ilvl w:val="2"/>
          <w:numId w:val="4"/>
        </w:numPr>
        <w:tabs>
          <w:tab w:val="left" w:pos="900"/>
        </w:tabs>
        <w:spacing w:line="380" w:lineRule="atLeast"/>
        <w:ind w:left="1620" w:hanging="769"/>
        <w:rPr>
          <w:rFonts w:eastAsia="楷体_GB2312"/>
          <w:sz w:val="24"/>
        </w:rPr>
      </w:pPr>
      <w:r>
        <w:rPr>
          <w:rFonts w:eastAsia="楷体_GB2312"/>
          <w:sz w:val="24"/>
        </w:rPr>
        <w:t>“委托人”在将“信贷资产”信托或转让给“受托人”时，除“交易文件”另有约定的以外</w:t>
      </w:r>
      <w:r>
        <w:rPr>
          <w:rFonts w:eastAsia="楷体_GB2312"/>
          <w:w w:val="0"/>
          <w:sz w:val="24"/>
        </w:rPr>
        <w:t>（包括但不限于发送“权利完善通知”、办理“抵押权”、“质权”转移登记、</w:t>
      </w:r>
      <w:r>
        <w:rPr>
          <w:rFonts w:eastAsia="楷体_GB2312"/>
          <w:color w:val="000000"/>
          <w:w w:val="0"/>
          <w:sz w:val="24"/>
        </w:rPr>
        <w:t>将持有的“质押财产”（如有）和/或“质押财产”的权利凭证（如有）交付给“受托人”</w:t>
      </w:r>
      <w:r>
        <w:rPr>
          <w:rFonts w:eastAsia="楷体_GB2312"/>
          <w:w w:val="0"/>
          <w:sz w:val="24"/>
        </w:rPr>
        <w:t>）</w:t>
      </w:r>
      <w:r>
        <w:rPr>
          <w:rFonts w:eastAsia="楷体_GB2312"/>
          <w:sz w:val="24"/>
        </w:rPr>
        <w:t>，“委托人”已经履行了其他应履行的义务；</w:t>
      </w:r>
    </w:p>
    <w:p w14:paraId="150FD350">
      <w:pPr>
        <w:tabs>
          <w:tab w:val="left" w:pos="2160"/>
        </w:tabs>
        <w:spacing w:line="380" w:lineRule="atLeast"/>
        <w:ind w:left="1080"/>
        <w:rPr>
          <w:rFonts w:eastAsia="楷体_GB2312"/>
          <w:sz w:val="24"/>
        </w:rPr>
      </w:pPr>
    </w:p>
    <w:p w14:paraId="1B2A6C85">
      <w:pPr>
        <w:numPr>
          <w:ilvl w:val="2"/>
          <w:numId w:val="4"/>
        </w:numPr>
        <w:tabs>
          <w:tab w:val="left" w:pos="900"/>
        </w:tabs>
        <w:spacing w:line="380" w:lineRule="atLeast"/>
        <w:ind w:left="1620" w:hanging="769"/>
        <w:rPr>
          <w:rFonts w:eastAsia="楷体_GB2312"/>
          <w:sz w:val="24"/>
        </w:rPr>
      </w:pPr>
      <w:r>
        <w:rPr>
          <w:rFonts w:eastAsia="楷体_GB2312"/>
          <w:sz w:val="24"/>
        </w:rPr>
        <w:t>“信托财产交付日”之前，就每一笔“信贷资产”而言，“委托人”持有与该笔“信贷资产”有关的、为“信贷资产”提供适当有效的服务和执行所必需的各项文件；</w:t>
      </w:r>
    </w:p>
    <w:p w14:paraId="4591F698">
      <w:pPr>
        <w:tabs>
          <w:tab w:val="left" w:pos="2160"/>
        </w:tabs>
        <w:spacing w:line="380" w:lineRule="atLeast"/>
        <w:ind w:left="1080"/>
        <w:rPr>
          <w:rFonts w:eastAsia="楷体_GB2312"/>
          <w:sz w:val="24"/>
        </w:rPr>
      </w:pPr>
    </w:p>
    <w:p w14:paraId="0BADFB9D">
      <w:pPr>
        <w:numPr>
          <w:ilvl w:val="2"/>
          <w:numId w:val="4"/>
        </w:numPr>
        <w:tabs>
          <w:tab w:val="left" w:pos="900"/>
        </w:tabs>
        <w:spacing w:line="380" w:lineRule="atLeast"/>
        <w:ind w:left="1620" w:hanging="769"/>
        <w:rPr>
          <w:rFonts w:eastAsia="楷体_GB2312"/>
          <w:sz w:val="24"/>
        </w:rPr>
      </w:pPr>
      <w:r>
        <w:rPr>
          <w:rFonts w:eastAsia="楷体_GB2312"/>
          <w:sz w:val="24"/>
        </w:rPr>
        <w:t>“委托人”将（或已经）把其在每笔“信贷资产”和相关收入中的所有权和相关权益有效地信托予或转让给“受托人”，并且“委托人”将把与上述权益有关的记录和信息有效地转让给“受托人”；</w:t>
      </w:r>
    </w:p>
    <w:p w14:paraId="2C9A7A12">
      <w:pPr>
        <w:tabs>
          <w:tab w:val="left" w:pos="2160"/>
        </w:tabs>
        <w:spacing w:line="380" w:lineRule="atLeast"/>
        <w:ind w:left="1080"/>
        <w:rPr>
          <w:rFonts w:eastAsia="楷体_GB2312"/>
          <w:sz w:val="24"/>
        </w:rPr>
      </w:pPr>
    </w:p>
    <w:p w14:paraId="3D49DBAE">
      <w:pPr>
        <w:numPr>
          <w:ilvl w:val="2"/>
          <w:numId w:val="4"/>
        </w:numPr>
        <w:tabs>
          <w:tab w:val="left" w:pos="900"/>
        </w:tabs>
        <w:spacing w:line="380" w:lineRule="atLeast"/>
        <w:ind w:left="1620" w:hanging="769"/>
        <w:rPr>
          <w:rFonts w:eastAsia="楷体_GB2312"/>
          <w:sz w:val="24"/>
        </w:rPr>
      </w:pPr>
      <w:r>
        <w:rPr>
          <w:rFonts w:eastAsia="楷体_GB2312"/>
          <w:sz w:val="24"/>
        </w:rPr>
        <w:t>自“信托财产交付日”起，“受托人”对每笔“信贷资产”享有能够对抗所有主体（但相关“借款人”、“担保人”（如有）除外）的合法的、有效的、可执行的债权人权益，该权益上未设定任何种类的担保权益或产权负担；为对抗“借款人”、“担保人”（如有），尚须根据“交易文件”发送“权利完善通知”；</w:t>
      </w:r>
    </w:p>
    <w:p w14:paraId="557D8591">
      <w:pPr>
        <w:tabs>
          <w:tab w:val="left" w:pos="2160"/>
        </w:tabs>
        <w:spacing w:line="380" w:lineRule="atLeast"/>
        <w:ind w:left="1080"/>
        <w:rPr>
          <w:rFonts w:eastAsia="楷体_GB2312"/>
          <w:sz w:val="24"/>
        </w:rPr>
      </w:pPr>
    </w:p>
    <w:p w14:paraId="4B79DFF8">
      <w:pPr>
        <w:numPr>
          <w:ilvl w:val="2"/>
          <w:numId w:val="4"/>
        </w:numPr>
        <w:tabs>
          <w:tab w:val="left" w:pos="900"/>
        </w:tabs>
        <w:spacing w:line="380" w:lineRule="atLeast"/>
        <w:ind w:left="1620" w:hanging="769"/>
        <w:rPr>
          <w:rFonts w:eastAsia="楷体_GB2312"/>
          <w:sz w:val="24"/>
        </w:rPr>
      </w:pPr>
      <w:r>
        <w:rPr>
          <w:rFonts w:eastAsia="楷体_GB2312"/>
          <w:sz w:val="24"/>
        </w:rPr>
        <w:t>将任何“信贷资产”设立或转让给“信托”时或之前，“委托人”无故意或重大过失行为损害“受托人”对该“信贷资产”所享有的合法权利；</w:t>
      </w:r>
    </w:p>
    <w:p w14:paraId="1D921433">
      <w:pPr>
        <w:tabs>
          <w:tab w:val="left" w:pos="2160"/>
        </w:tabs>
        <w:spacing w:line="380" w:lineRule="atLeast"/>
        <w:ind w:left="1080"/>
        <w:rPr>
          <w:rFonts w:eastAsia="楷体_GB2312"/>
          <w:sz w:val="24"/>
        </w:rPr>
      </w:pPr>
    </w:p>
    <w:p w14:paraId="081D999C">
      <w:pPr>
        <w:numPr>
          <w:ilvl w:val="2"/>
          <w:numId w:val="4"/>
        </w:numPr>
        <w:tabs>
          <w:tab w:val="left" w:pos="900"/>
        </w:tabs>
        <w:spacing w:line="380" w:lineRule="atLeast"/>
        <w:ind w:left="1620" w:hanging="769"/>
        <w:rPr>
          <w:rFonts w:eastAsia="楷体_GB2312"/>
          <w:sz w:val="24"/>
        </w:rPr>
      </w:pPr>
      <w:r>
        <w:rPr>
          <w:rFonts w:eastAsia="楷体_GB2312"/>
          <w:sz w:val="24"/>
        </w:rPr>
        <w:t>将每笔“信贷资产”设立信托、转让或出售该“信贷资产”均不会因任何法定理由而受到禁止或限制；</w:t>
      </w:r>
    </w:p>
    <w:p w14:paraId="729AA82C">
      <w:pPr>
        <w:tabs>
          <w:tab w:val="left" w:pos="2160"/>
        </w:tabs>
        <w:spacing w:line="380" w:lineRule="atLeast"/>
        <w:ind w:left="1080"/>
        <w:rPr>
          <w:rFonts w:eastAsia="楷体_GB2312"/>
          <w:sz w:val="24"/>
        </w:rPr>
      </w:pPr>
    </w:p>
    <w:p w14:paraId="32328A29">
      <w:pPr>
        <w:numPr>
          <w:ilvl w:val="2"/>
          <w:numId w:val="4"/>
        </w:numPr>
        <w:tabs>
          <w:tab w:val="left" w:pos="900"/>
        </w:tabs>
        <w:spacing w:line="380" w:lineRule="atLeast"/>
        <w:ind w:left="1620" w:hanging="769"/>
        <w:rPr>
          <w:rFonts w:eastAsia="楷体_GB2312"/>
          <w:sz w:val="24"/>
        </w:rPr>
      </w:pPr>
      <w:r>
        <w:rPr>
          <w:rFonts w:eastAsia="楷体_GB2312"/>
          <w:sz w:val="24"/>
        </w:rPr>
        <w:t>每笔“信贷资产”都能够并将始终能够为确认所有权的目的与“委托人”持有的其他信贷资产相分离；</w:t>
      </w:r>
    </w:p>
    <w:p w14:paraId="57EB0934">
      <w:pPr>
        <w:tabs>
          <w:tab w:val="left" w:pos="2160"/>
        </w:tabs>
        <w:spacing w:line="380" w:lineRule="atLeast"/>
        <w:ind w:left="1080"/>
        <w:rPr>
          <w:rFonts w:eastAsia="楷体_GB2312"/>
          <w:sz w:val="24"/>
        </w:rPr>
      </w:pPr>
    </w:p>
    <w:p w14:paraId="6ECD0693">
      <w:pPr>
        <w:numPr>
          <w:ilvl w:val="2"/>
          <w:numId w:val="4"/>
        </w:numPr>
        <w:tabs>
          <w:tab w:val="left" w:pos="900"/>
        </w:tabs>
        <w:spacing w:line="380" w:lineRule="atLeast"/>
        <w:ind w:left="1620" w:hanging="769"/>
        <w:rPr>
          <w:rFonts w:eastAsia="楷体_GB2312"/>
          <w:sz w:val="24"/>
        </w:rPr>
      </w:pPr>
      <w:r>
        <w:rPr>
          <w:rFonts w:eastAsia="楷体_GB2312"/>
          <w:sz w:val="24"/>
        </w:rPr>
        <w:t>据“委托人”所知，任何“信贷资产”或该等“信贷资产”项下的“借款人”、“担保人”（如有）、“抵押物”（如有）、“质押财产”（如有）没有涉及任何司法或者仲裁程序，以致对“信托财产”造成“重大不利影响”；</w:t>
      </w:r>
    </w:p>
    <w:p w14:paraId="4A822AD1">
      <w:pPr>
        <w:tabs>
          <w:tab w:val="left" w:pos="425"/>
          <w:tab w:val="left" w:pos="900"/>
          <w:tab w:val="left" w:pos="1571"/>
        </w:tabs>
        <w:spacing w:line="380" w:lineRule="atLeast"/>
        <w:ind w:left="1620"/>
        <w:rPr>
          <w:rFonts w:eastAsia="楷体_GB2312"/>
          <w:sz w:val="24"/>
        </w:rPr>
      </w:pPr>
    </w:p>
    <w:p w14:paraId="7EB15FAD">
      <w:pPr>
        <w:numPr>
          <w:ilvl w:val="2"/>
          <w:numId w:val="4"/>
        </w:numPr>
        <w:tabs>
          <w:tab w:val="left" w:pos="900"/>
        </w:tabs>
        <w:spacing w:line="380" w:lineRule="atLeast"/>
        <w:ind w:left="1620" w:hanging="769"/>
        <w:rPr>
          <w:rFonts w:eastAsia="楷体_GB2312"/>
          <w:sz w:val="24"/>
        </w:rPr>
      </w:pPr>
      <w:r>
        <w:rPr>
          <w:rFonts w:eastAsia="楷体_GB2312"/>
          <w:sz w:val="24"/>
        </w:rPr>
        <w:t>据“委托人”所知，“抵押物”、“质押财产”没有涉及任何征收或者征用程序，不是任何征收或者征用的对象；</w:t>
      </w:r>
    </w:p>
    <w:p w14:paraId="75B0622F">
      <w:pPr>
        <w:pStyle w:val="75"/>
        <w:ind w:firstLine="0" w:firstLineChars="0"/>
        <w:rPr>
          <w:rFonts w:eastAsia="楷体_GB2312"/>
          <w:sz w:val="24"/>
        </w:rPr>
      </w:pPr>
    </w:p>
    <w:p w14:paraId="0AB3AC79">
      <w:pPr>
        <w:numPr>
          <w:ilvl w:val="2"/>
          <w:numId w:val="4"/>
        </w:numPr>
        <w:tabs>
          <w:tab w:val="left" w:pos="900"/>
        </w:tabs>
        <w:spacing w:line="380" w:lineRule="atLeast"/>
        <w:ind w:left="1620" w:hanging="769"/>
        <w:rPr>
          <w:rFonts w:eastAsia="楷体_GB2312"/>
          <w:sz w:val="24"/>
        </w:rPr>
      </w:pPr>
      <w:r>
        <w:rPr>
          <w:rFonts w:eastAsia="楷体_GB2312"/>
          <w:sz w:val="24"/>
        </w:rPr>
        <w:t>没有任何一笔“信贷资产”因要避免拖欠或违约而重新制定还款计划（但根据“中国法律”或监管政策规定曾予以延期的“贷款”除外）、减少贷款额、重组或重新融资。</w:t>
      </w:r>
    </w:p>
    <w:p w14:paraId="29EC5A20">
      <w:pPr>
        <w:spacing w:line="380" w:lineRule="atLeast"/>
        <w:rPr>
          <w:rFonts w:eastAsia="楷体_GB2312"/>
          <w:sz w:val="24"/>
        </w:rPr>
      </w:pPr>
    </w:p>
    <w:p w14:paraId="6B4A51FE">
      <w:pPr>
        <w:numPr>
          <w:ilvl w:val="0"/>
          <w:numId w:val="4"/>
        </w:numPr>
        <w:spacing w:line="380" w:lineRule="atLeast"/>
        <w:outlineLvl w:val="0"/>
        <w:rPr>
          <w:rFonts w:eastAsia="楷体_GB2312"/>
          <w:b/>
          <w:sz w:val="24"/>
        </w:rPr>
      </w:pPr>
      <w:bookmarkStart w:id="159" w:name="_Toc148384202"/>
      <w:bookmarkEnd w:id="159"/>
      <w:bookmarkStart w:id="160" w:name="_Toc148384205"/>
      <w:bookmarkEnd w:id="160"/>
      <w:bookmarkStart w:id="161" w:name="_Toc148384204"/>
      <w:bookmarkEnd w:id="161"/>
      <w:bookmarkStart w:id="162" w:name="_Toc148440793"/>
      <w:bookmarkEnd w:id="162"/>
      <w:bookmarkStart w:id="163" w:name="_Toc148384203"/>
      <w:bookmarkEnd w:id="163"/>
      <w:bookmarkStart w:id="164" w:name="_Toc148440794"/>
      <w:bookmarkEnd w:id="164"/>
      <w:bookmarkStart w:id="165" w:name="_Toc148440791"/>
      <w:bookmarkEnd w:id="165"/>
      <w:bookmarkStart w:id="166" w:name="_Toc148440790"/>
      <w:bookmarkEnd w:id="166"/>
      <w:bookmarkStart w:id="167" w:name="_Toc148440792"/>
      <w:bookmarkEnd w:id="167"/>
      <w:bookmarkStart w:id="168" w:name="_Toc148384200"/>
      <w:bookmarkEnd w:id="168"/>
      <w:bookmarkStart w:id="169" w:name="_Toc148440795"/>
      <w:bookmarkEnd w:id="169"/>
      <w:bookmarkStart w:id="170" w:name="_Toc148384201"/>
      <w:bookmarkEnd w:id="170"/>
      <w:bookmarkStart w:id="171" w:name="_Toc110153429"/>
      <w:bookmarkStart w:id="172" w:name="_Toc51277215"/>
      <w:bookmarkStart w:id="173" w:name="_Toc111281779"/>
      <w:bookmarkStart w:id="174" w:name="_Toc373951546"/>
      <w:bookmarkStart w:id="175" w:name="_Toc5204"/>
      <w:r>
        <w:rPr>
          <w:rFonts w:eastAsia="楷体_GB2312"/>
          <w:b/>
          <w:sz w:val="24"/>
        </w:rPr>
        <w:t>受</w:t>
      </w:r>
      <w:bookmarkStart w:id="176" w:name="_Toc92612915"/>
      <w:r>
        <w:rPr>
          <w:rFonts w:eastAsia="楷体_GB2312"/>
          <w:b/>
          <w:sz w:val="24"/>
        </w:rPr>
        <w:t>托人</w:t>
      </w:r>
      <w:bookmarkEnd w:id="171"/>
      <w:bookmarkEnd w:id="172"/>
      <w:bookmarkEnd w:id="173"/>
      <w:bookmarkEnd w:id="174"/>
      <w:bookmarkEnd w:id="175"/>
    </w:p>
    <w:bookmarkEnd w:id="176"/>
    <w:p w14:paraId="1D386B58">
      <w:pPr>
        <w:spacing w:line="360" w:lineRule="auto"/>
        <w:ind w:left="420"/>
        <w:rPr>
          <w:rFonts w:eastAsia="楷体_GB2312"/>
          <w:b/>
          <w:i/>
          <w:iCs/>
          <w:snapToGrid w:val="0"/>
          <w:color w:val="FF0000"/>
          <w:kern w:val="28"/>
          <w:sz w:val="24"/>
        </w:rPr>
      </w:pPr>
      <w:r>
        <w:rPr>
          <w:rFonts w:eastAsia="楷体_GB2312"/>
          <w:b/>
          <w:bCs/>
          <w:i/>
          <w:iCs/>
          <w:color w:val="FF0000"/>
          <w:kern w:val="2"/>
          <w:sz w:val="24"/>
          <w:szCs w:val="24"/>
        </w:rPr>
        <w:t>【注：受托人的权利、义务、陈述与保证条款可根据项目具体情况进行补充或调整。】</w:t>
      </w:r>
    </w:p>
    <w:p w14:paraId="187AE25E">
      <w:pPr>
        <w:spacing w:line="380" w:lineRule="atLeast"/>
        <w:rPr>
          <w:rFonts w:eastAsia="楷体_GB2312"/>
        </w:rPr>
      </w:pPr>
    </w:p>
    <w:p w14:paraId="3D4AE9FE">
      <w:pPr>
        <w:numPr>
          <w:ilvl w:val="1"/>
          <w:numId w:val="4"/>
        </w:numPr>
        <w:tabs>
          <w:tab w:val="left" w:pos="900"/>
        </w:tabs>
        <w:spacing w:line="380" w:lineRule="atLeast"/>
        <w:outlineLvl w:val="1"/>
        <w:rPr>
          <w:rFonts w:eastAsia="楷体_GB2312"/>
          <w:b/>
          <w:sz w:val="24"/>
        </w:rPr>
      </w:pPr>
      <w:bookmarkStart w:id="177" w:name="_Toc111281780"/>
      <w:bookmarkStart w:id="178" w:name="_Toc110153430"/>
      <w:r>
        <w:rPr>
          <w:rFonts w:eastAsia="楷体_GB2312"/>
          <w:b/>
          <w:sz w:val="24"/>
        </w:rPr>
        <w:t>受</w:t>
      </w:r>
      <w:bookmarkStart w:id="179" w:name="_Toc92612916"/>
      <w:r>
        <w:rPr>
          <w:rFonts w:eastAsia="楷体_GB2312"/>
          <w:b/>
          <w:sz w:val="24"/>
        </w:rPr>
        <w:t>托人的权利</w:t>
      </w:r>
      <w:bookmarkEnd w:id="177"/>
      <w:bookmarkEnd w:id="178"/>
    </w:p>
    <w:bookmarkEnd w:id="179"/>
    <w:p w14:paraId="7DFF97CD">
      <w:pPr>
        <w:spacing w:line="380" w:lineRule="atLeast"/>
        <w:rPr>
          <w:rFonts w:eastAsia="楷体_GB2312"/>
          <w:sz w:val="24"/>
        </w:rPr>
      </w:pPr>
    </w:p>
    <w:p w14:paraId="516F8E34">
      <w:pPr>
        <w:numPr>
          <w:ilvl w:val="2"/>
          <w:numId w:val="4"/>
        </w:numPr>
        <w:tabs>
          <w:tab w:val="left" w:pos="900"/>
        </w:tabs>
        <w:spacing w:line="380" w:lineRule="atLeast"/>
        <w:ind w:left="1620" w:hanging="769"/>
        <w:rPr>
          <w:rFonts w:eastAsia="楷体_GB2312"/>
          <w:sz w:val="24"/>
        </w:rPr>
      </w:pPr>
      <w:r>
        <w:rPr>
          <w:rFonts w:eastAsia="楷体_GB2312"/>
          <w:sz w:val="24"/>
        </w:rPr>
        <w:t>“受托人”有权发行“资产支持证券”。</w:t>
      </w:r>
    </w:p>
    <w:p w14:paraId="3FAF4F1C">
      <w:pPr>
        <w:tabs>
          <w:tab w:val="left" w:pos="2160"/>
        </w:tabs>
        <w:spacing w:line="380" w:lineRule="atLeast"/>
        <w:ind w:left="1080"/>
        <w:rPr>
          <w:rFonts w:eastAsia="楷体_GB2312"/>
          <w:sz w:val="24"/>
        </w:rPr>
      </w:pPr>
    </w:p>
    <w:p w14:paraId="437AC66E">
      <w:pPr>
        <w:numPr>
          <w:ilvl w:val="2"/>
          <w:numId w:val="4"/>
        </w:numPr>
        <w:tabs>
          <w:tab w:val="left" w:pos="900"/>
        </w:tabs>
        <w:spacing w:line="380" w:lineRule="atLeast"/>
        <w:ind w:left="1620" w:hanging="769"/>
        <w:rPr>
          <w:rFonts w:eastAsia="楷体_GB2312"/>
          <w:sz w:val="24"/>
        </w:rPr>
      </w:pPr>
      <w:r>
        <w:rPr>
          <w:rFonts w:eastAsia="楷体_GB2312"/>
          <w:sz w:val="24"/>
        </w:rPr>
        <w:t>“受托人”有权依据本合同的约定获得服务报酬。</w:t>
      </w:r>
    </w:p>
    <w:p w14:paraId="581B3AF5">
      <w:pPr>
        <w:spacing w:line="380" w:lineRule="atLeast"/>
        <w:rPr>
          <w:rFonts w:eastAsia="楷体_GB2312"/>
          <w:sz w:val="24"/>
        </w:rPr>
      </w:pPr>
    </w:p>
    <w:p w14:paraId="27B1B068">
      <w:pPr>
        <w:numPr>
          <w:ilvl w:val="2"/>
          <w:numId w:val="4"/>
        </w:numPr>
        <w:tabs>
          <w:tab w:val="left" w:pos="900"/>
        </w:tabs>
        <w:spacing w:line="380" w:lineRule="atLeast"/>
        <w:ind w:left="1620" w:hanging="769"/>
        <w:rPr>
          <w:rFonts w:eastAsia="楷体_GB2312"/>
          <w:sz w:val="24"/>
        </w:rPr>
      </w:pPr>
      <w:r>
        <w:rPr>
          <w:rFonts w:eastAsia="楷体_GB2312"/>
          <w:sz w:val="24"/>
        </w:rPr>
        <w:t>“受托人”在其认为必要时，有权提议召开“资产支持证券持有人大会”，对涉及信托事务的重大事项进行表决并按照表决结果处理信托事务。</w:t>
      </w:r>
    </w:p>
    <w:p w14:paraId="66C952BB">
      <w:pPr>
        <w:tabs>
          <w:tab w:val="left" w:pos="2160"/>
        </w:tabs>
        <w:spacing w:line="380" w:lineRule="atLeast"/>
        <w:ind w:left="1080"/>
        <w:rPr>
          <w:rFonts w:eastAsia="楷体_GB2312"/>
          <w:sz w:val="24"/>
        </w:rPr>
      </w:pPr>
    </w:p>
    <w:p w14:paraId="5477BEAD">
      <w:pPr>
        <w:numPr>
          <w:ilvl w:val="2"/>
          <w:numId w:val="4"/>
        </w:numPr>
        <w:tabs>
          <w:tab w:val="left" w:pos="900"/>
        </w:tabs>
        <w:spacing w:line="380" w:lineRule="atLeast"/>
        <w:ind w:left="1620" w:hanging="769"/>
        <w:rPr>
          <w:rFonts w:eastAsia="楷体_GB2312"/>
          <w:sz w:val="24"/>
        </w:rPr>
      </w:pPr>
      <w:r>
        <w:rPr>
          <w:rFonts w:eastAsia="楷体_GB2312"/>
          <w:sz w:val="24"/>
        </w:rPr>
        <w:t>“受托人”依据本合同约定的方式，有权管理、运用、处分本合同约定的“信托财产”。</w:t>
      </w:r>
    </w:p>
    <w:p w14:paraId="10DADE86">
      <w:pPr>
        <w:tabs>
          <w:tab w:val="left" w:pos="2160"/>
        </w:tabs>
        <w:spacing w:line="380" w:lineRule="atLeast"/>
        <w:ind w:left="1080"/>
        <w:rPr>
          <w:rFonts w:eastAsia="楷体_GB2312"/>
          <w:sz w:val="24"/>
        </w:rPr>
      </w:pPr>
    </w:p>
    <w:p w14:paraId="37976ED5">
      <w:pPr>
        <w:numPr>
          <w:ilvl w:val="2"/>
          <w:numId w:val="4"/>
        </w:numPr>
        <w:tabs>
          <w:tab w:val="left" w:pos="900"/>
        </w:tabs>
        <w:spacing w:line="380" w:lineRule="atLeast"/>
        <w:ind w:left="1620" w:hanging="769"/>
        <w:rPr>
          <w:rFonts w:eastAsia="楷体_GB2312"/>
          <w:sz w:val="24"/>
        </w:rPr>
      </w:pPr>
      <w:r>
        <w:rPr>
          <w:rFonts w:eastAsia="楷体_GB2312"/>
          <w:sz w:val="24"/>
        </w:rPr>
        <w:t>“受托人”在有利于“信托”目的实现的前提下，有权根据本合同的约定委托“贷款服务机构”</w:t>
      </w:r>
      <w:bookmarkStart w:id="180" w:name="_DV_C349"/>
      <w:r>
        <w:rPr>
          <w:rStyle w:val="63"/>
          <w:rFonts w:eastAsia="楷体_GB2312"/>
          <w:color w:val="auto"/>
          <w:w w:val="0"/>
          <w:sz w:val="24"/>
          <w:u w:val="none"/>
        </w:rPr>
        <w:t>、“资金保管机构”、“评级机构”、“审计师”等机构</w:t>
      </w:r>
      <w:bookmarkEnd w:id="180"/>
      <w:r>
        <w:rPr>
          <w:rFonts w:eastAsia="楷体_GB2312"/>
          <w:sz w:val="24"/>
        </w:rPr>
        <w:t>代为处理相关的信托事务。</w:t>
      </w:r>
    </w:p>
    <w:p w14:paraId="4783A50A">
      <w:pPr>
        <w:tabs>
          <w:tab w:val="left" w:pos="2160"/>
        </w:tabs>
        <w:spacing w:line="380" w:lineRule="atLeast"/>
        <w:rPr>
          <w:rFonts w:eastAsia="楷体_GB2312"/>
          <w:b/>
          <w:bCs/>
          <w:sz w:val="24"/>
        </w:rPr>
      </w:pPr>
    </w:p>
    <w:p w14:paraId="205F4B4C">
      <w:pPr>
        <w:numPr>
          <w:ilvl w:val="2"/>
          <w:numId w:val="4"/>
        </w:numPr>
        <w:tabs>
          <w:tab w:val="left" w:pos="900"/>
        </w:tabs>
        <w:spacing w:line="380" w:lineRule="atLeast"/>
        <w:ind w:left="1620" w:hanging="769"/>
        <w:rPr>
          <w:rFonts w:eastAsia="楷体_GB2312"/>
          <w:sz w:val="24"/>
        </w:rPr>
      </w:pPr>
      <w:r>
        <w:rPr>
          <w:rFonts w:eastAsia="楷体_GB2312"/>
          <w:sz w:val="24"/>
        </w:rPr>
        <w:t>“受托人”有权</w:t>
      </w:r>
      <w:bookmarkStart w:id="181" w:name="_DV_C353"/>
      <w:r>
        <w:rPr>
          <w:rStyle w:val="63"/>
          <w:rFonts w:eastAsia="楷体_GB2312"/>
          <w:color w:val="auto"/>
          <w:w w:val="0"/>
          <w:sz w:val="24"/>
          <w:u w:val="none"/>
        </w:rPr>
        <w:t>根据本合同的约定</w:t>
      </w:r>
      <w:bookmarkEnd w:id="181"/>
      <w:r>
        <w:rPr>
          <w:rFonts w:eastAsia="楷体_GB2312"/>
          <w:sz w:val="24"/>
        </w:rPr>
        <w:t>委托“登记托管机构”和“支付代理机构”提供“资产支持证券”的登记托管和本息兑付服务。</w:t>
      </w:r>
    </w:p>
    <w:p w14:paraId="02D87436">
      <w:pPr>
        <w:tabs>
          <w:tab w:val="left" w:pos="2160"/>
        </w:tabs>
        <w:spacing w:line="380" w:lineRule="atLeast"/>
        <w:ind w:left="1080"/>
        <w:rPr>
          <w:rFonts w:eastAsia="楷体_GB2312"/>
          <w:sz w:val="24"/>
        </w:rPr>
      </w:pPr>
    </w:p>
    <w:p w14:paraId="44EEE7AD">
      <w:pPr>
        <w:numPr>
          <w:ilvl w:val="2"/>
          <w:numId w:val="4"/>
        </w:numPr>
        <w:tabs>
          <w:tab w:val="left" w:pos="900"/>
        </w:tabs>
        <w:spacing w:line="380" w:lineRule="atLeast"/>
        <w:ind w:left="1620" w:hanging="769"/>
        <w:rPr>
          <w:rFonts w:eastAsia="楷体_GB2312"/>
          <w:sz w:val="24"/>
        </w:rPr>
      </w:pPr>
      <w:r>
        <w:rPr>
          <w:rFonts w:eastAsia="楷体_GB2312"/>
          <w:sz w:val="24"/>
        </w:rPr>
        <w:t>“受托人”有权要求“贷款服务机构”、“资金保管机构”及其他相关机构提供关于“信托财产”的信息资料，用于但不限于“信托财产”的一般管理、会计处理及对外</w:t>
      </w:r>
      <w:bookmarkStart w:id="910" w:name="_GoBack"/>
      <w:r>
        <w:rPr>
          <w:rFonts w:eastAsia="楷体_GB2312"/>
          <w:sz w:val="24"/>
        </w:rPr>
        <w:t>信息披露</w:t>
      </w:r>
      <w:bookmarkEnd w:id="910"/>
      <w:r>
        <w:rPr>
          <w:rFonts w:eastAsia="楷体_GB2312"/>
          <w:sz w:val="24"/>
        </w:rPr>
        <w:t>等。</w:t>
      </w:r>
    </w:p>
    <w:p w14:paraId="1C3AAA33">
      <w:pPr>
        <w:tabs>
          <w:tab w:val="left" w:pos="2160"/>
        </w:tabs>
        <w:spacing w:line="380" w:lineRule="atLeast"/>
        <w:rPr>
          <w:rFonts w:eastAsia="楷体_GB2312"/>
          <w:sz w:val="24"/>
        </w:rPr>
      </w:pPr>
    </w:p>
    <w:p w14:paraId="11A0228C">
      <w:pPr>
        <w:numPr>
          <w:ilvl w:val="2"/>
          <w:numId w:val="4"/>
        </w:numPr>
        <w:tabs>
          <w:tab w:val="left" w:pos="900"/>
        </w:tabs>
        <w:spacing w:line="380" w:lineRule="atLeast"/>
        <w:ind w:left="1620" w:hanging="769"/>
        <w:rPr>
          <w:rFonts w:eastAsia="楷体_GB2312"/>
          <w:sz w:val="24"/>
        </w:rPr>
      </w:pPr>
      <w:r>
        <w:rPr>
          <w:rFonts w:eastAsia="楷体_GB2312"/>
          <w:sz w:val="24"/>
        </w:rPr>
        <w:t>“受托人”有权要求“贷款服务机构”、“资金保管机构”及其他相关机构配合“受托人”委任的“审计师”进行关于“信托财产”方面的审计工作。</w:t>
      </w:r>
    </w:p>
    <w:p w14:paraId="475A1B4B">
      <w:pPr>
        <w:tabs>
          <w:tab w:val="left" w:pos="2160"/>
        </w:tabs>
        <w:spacing w:line="380" w:lineRule="atLeast"/>
        <w:rPr>
          <w:rFonts w:eastAsia="楷体_GB2312"/>
          <w:sz w:val="24"/>
        </w:rPr>
      </w:pPr>
    </w:p>
    <w:p w14:paraId="66D5DC31">
      <w:pPr>
        <w:numPr>
          <w:ilvl w:val="2"/>
          <w:numId w:val="4"/>
        </w:numPr>
        <w:tabs>
          <w:tab w:val="left" w:pos="900"/>
        </w:tabs>
        <w:spacing w:line="380" w:lineRule="atLeast"/>
        <w:ind w:left="1620" w:hanging="769"/>
        <w:rPr>
          <w:rFonts w:eastAsia="楷体_GB2312"/>
          <w:sz w:val="24"/>
        </w:rPr>
      </w:pPr>
      <w:r>
        <w:rPr>
          <w:rFonts w:eastAsia="楷体_GB2312"/>
          <w:sz w:val="24"/>
        </w:rPr>
        <w:t>“受托人”有权要求“贷款服务机构”、“资金保管机构”及其他相关机构配合“受托人”委任的</w:t>
      </w:r>
      <w:r>
        <w:rPr>
          <w:rStyle w:val="63"/>
          <w:rFonts w:eastAsia="楷体_GB2312"/>
          <w:color w:val="auto"/>
          <w:w w:val="0"/>
          <w:sz w:val="24"/>
          <w:u w:val="none"/>
        </w:rPr>
        <w:t>“评级机构”</w:t>
      </w:r>
      <w:r>
        <w:rPr>
          <w:rFonts w:eastAsia="楷体_GB2312"/>
          <w:sz w:val="24"/>
        </w:rPr>
        <w:t>进行关于“资产支持证券”的持续跟踪评级工作。</w:t>
      </w:r>
    </w:p>
    <w:p w14:paraId="356D3CBC">
      <w:pPr>
        <w:tabs>
          <w:tab w:val="left" w:pos="2160"/>
        </w:tabs>
        <w:spacing w:line="380" w:lineRule="atLeast"/>
        <w:rPr>
          <w:rFonts w:eastAsia="楷体_GB2312"/>
          <w:sz w:val="24"/>
        </w:rPr>
      </w:pPr>
    </w:p>
    <w:p w14:paraId="3ABFD895">
      <w:pPr>
        <w:numPr>
          <w:ilvl w:val="2"/>
          <w:numId w:val="4"/>
        </w:numPr>
        <w:tabs>
          <w:tab w:val="left" w:pos="900"/>
        </w:tabs>
        <w:spacing w:line="380" w:lineRule="atLeast"/>
        <w:ind w:left="1620" w:hanging="769"/>
        <w:rPr>
          <w:rFonts w:eastAsia="楷体_GB2312"/>
          <w:sz w:val="24"/>
        </w:rPr>
      </w:pPr>
      <w:r>
        <w:rPr>
          <w:rFonts w:eastAsia="楷体_GB2312"/>
          <w:sz w:val="24"/>
        </w:rPr>
        <w:t>“受托人”应当自己处理信托事务，但本合同另有约定的，“受托人”可以委托他人代为处理。</w:t>
      </w:r>
    </w:p>
    <w:p w14:paraId="6CE48F43">
      <w:pPr>
        <w:tabs>
          <w:tab w:val="left" w:pos="2160"/>
        </w:tabs>
        <w:spacing w:line="380" w:lineRule="atLeast"/>
        <w:rPr>
          <w:rFonts w:eastAsia="楷体_GB2312"/>
          <w:sz w:val="24"/>
        </w:rPr>
      </w:pPr>
    </w:p>
    <w:p w14:paraId="1758F3F4">
      <w:pPr>
        <w:numPr>
          <w:ilvl w:val="2"/>
          <w:numId w:val="4"/>
        </w:numPr>
        <w:tabs>
          <w:tab w:val="left" w:pos="900"/>
        </w:tabs>
        <w:spacing w:line="380" w:lineRule="atLeast"/>
        <w:ind w:left="1620" w:hanging="769"/>
        <w:rPr>
          <w:rFonts w:eastAsia="楷体_GB2312"/>
          <w:sz w:val="24"/>
        </w:rPr>
      </w:pPr>
      <w:r>
        <w:rPr>
          <w:rFonts w:eastAsia="楷体_GB2312"/>
          <w:sz w:val="24"/>
        </w:rPr>
        <w:t>“受托人”因处理信托事务所支出的费用、对第三人所负债务，以“信托财产”承担。“受托人”以其固有财产先行支付的，就先行支付的金额，“受托人”对“信托财产”享有优先受偿的权利。</w:t>
      </w:r>
    </w:p>
    <w:p w14:paraId="4A939FCC">
      <w:pPr>
        <w:pStyle w:val="78"/>
        <w:ind w:firstLine="480"/>
        <w:rPr>
          <w:rFonts w:eastAsia="楷体_GB2312"/>
          <w:sz w:val="24"/>
        </w:rPr>
      </w:pPr>
    </w:p>
    <w:p w14:paraId="1C662BE1">
      <w:pPr>
        <w:numPr>
          <w:ilvl w:val="2"/>
          <w:numId w:val="4"/>
        </w:numPr>
        <w:tabs>
          <w:tab w:val="left" w:pos="900"/>
        </w:tabs>
        <w:spacing w:line="380" w:lineRule="atLeast"/>
        <w:ind w:left="1620" w:hanging="769"/>
        <w:rPr>
          <w:rFonts w:eastAsia="楷体_GB2312"/>
          <w:sz w:val="24"/>
        </w:rPr>
      </w:pPr>
      <w:r>
        <w:rPr>
          <w:rFonts w:eastAsia="楷体_GB2312"/>
          <w:sz w:val="24"/>
        </w:rPr>
        <w:t>“受托人”有权按照国家反洗钱规定，履行反洗钱工作。“受托人”有权将本“信托”项下可能涉及的洗钱等可疑交易事项向相关国家机关履行报告义务。如“受托人”在“信托利益”分配过程中，发现本“信托”项下“信托财产”的支付、分配等行为符合国家有权机构规定的可疑交易上报条件的，有权根据</w:t>
      </w:r>
      <w:r>
        <w:rPr>
          <w:rFonts w:eastAsia="楷体_GB2312"/>
          <w:color w:val="000000"/>
          <w:sz w:val="24"/>
        </w:rPr>
        <w:t>《中华人民共和国反洗钱法》</w:t>
      </w:r>
      <w:r>
        <w:rPr>
          <w:rFonts w:eastAsia="楷体_GB2312"/>
          <w:sz w:val="24"/>
        </w:rPr>
        <w:t>《金融机构大额交易和可疑交易报告管理办法》</w:t>
      </w:r>
      <w:r>
        <w:rPr>
          <w:rFonts w:eastAsia="楷体_GB2312"/>
          <w:color w:val="000000"/>
          <w:sz w:val="24"/>
        </w:rPr>
        <w:t>《中国人民银行关于修改〈金融机构大额交易和可疑交易报告管理办法〉的决定》</w:t>
      </w:r>
      <w:r>
        <w:rPr>
          <w:rFonts w:eastAsia="楷体_GB2312"/>
          <w:sz w:val="24"/>
        </w:rPr>
        <w:t>及届时有效的相关法律法规向有权机构报告。因此对“信托财产”造成损失的，“受托人”不承担责任。</w:t>
      </w:r>
    </w:p>
    <w:p w14:paraId="16AE1741">
      <w:pPr>
        <w:tabs>
          <w:tab w:val="left" w:pos="425"/>
          <w:tab w:val="left" w:pos="900"/>
          <w:tab w:val="left" w:pos="1571"/>
        </w:tabs>
        <w:spacing w:line="380" w:lineRule="atLeast"/>
        <w:ind w:left="1620"/>
        <w:rPr>
          <w:rFonts w:eastAsia="楷体_GB2312"/>
          <w:sz w:val="24"/>
        </w:rPr>
      </w:pPr>
    </w:p>
    <w:p w14:paraId="2FBEDB27">
      <w:pPr>
        <w:numPr>
          <w:ilvl w:val="2"/>
          <w:numId w:val="4"/>
        </w:numPr>
        <w:tabs>
          <w:tab w:val="left" w:pos="900"/>
        </w:tabs>
        <w:spacing w:line="380" w:lineRule="atLeast"/>
        <w:ind w:left="1620" w:hanging="769"/>
        <w:rPr>
          <w:rFonts w:eastAsia="楷体_GB2312"/>
          <w:sz w:val="24"/>
        </w:rPr>
      </w:pPr>
      <w:r>
        <w:rPr>
          <w:rFonts w:eastAsia="楷体_GB2312"/>
          <w:sz w:val="24"/>
        </w:rPr>
        <w:t>“受托人”有权享有“中国法律”规定的和本合同约定的其他与“信托财产”相关的权利。</w:t>
      </w:r>
    </w:p>
    <w:p w14:paraId="47EA2608">
      <w:pPr>
        <w:tabs>
          <w:tab w:val="left" w:pos="2160"/>
        </w:tabs>
        <w:spacing w:line="380" w:lineRule="atLeast"/>
        <w:rPr>
          <w:rFonts w:eastAsia="楷体_GB2312"/>
          <w:sz w:val="24"/>
        </w:rPr>
      </w:pPr>
    </w:p>
    <w:p w14:paraId="7CC1E9F4">
      <w:pPr>
        <w:numPr>
          <w:ilvl w:val="1"/>
          <w:numId w:val="4"/>
        </w:numPr>
        <w:tabs>
          <w:tab w:val="left" w:pos="900"/>
        </w:tabs>
        <w:spacing w:line="380" w:lineRule="atLeast"/>
        <w:outlineLvl w:val="1"/>
        <w:rPr>
          <w:rFonts w:eastAsia="楷体_GB2312"/>
          <w:b/>
          <w:sz w:val="24"/>
        </w:rPr>
      </w:pPr>
      <w:bookmarkStart w:id="182" w:name="_Toc146349244"/>
      <w:bookmarkEnd w:id="182"/>
      <w:bookmarkStart w:id="183" w:name="_Toc146349245"/>
      <w:bookmarkEnd w:id="183"/>
      <w:bookmarkStart w:id="184" w:name="_Toc146989572"/>
      <w:bookmarkEnd w:id="184"/>
      <w:bookmarkStart w:id="185" w:name="_Toc111281781"/>
      <w:bookmarkStart w:id="186" w:name="_Toc110153431"/>
      <w:r>
        <w:rPr>
          <w:rFonts w:eastAsia="楷体_GB2312"/>
          <w:b/>
          <w:sz w:val="24"/>
        </w:rPr>
        <w:t>受</w:t>
      </w:r>
      <w:bookmarkStart w:id="187" w:name="_Toc92612917"/>
      <w:r>
        <w:rPr>
          <w:rFonts w:eastAsia="楷体_GB2312"/>
          <w:b/>
          <w:sz w:val="24"/>
        </w:rPr>
        <w:t>托人的义务</w:t>
      </w:r>
      <w:bookmarkEnd w:id="185"/>
      <w:bookmarkEnd w:id="186"/>
    </w:p>
    <w:bookmarkEnd w:id="187"/>
    <w:p w14:paraId="363928CE">
      <w:pPr>
        <w:spacing w:line="380" w:lineRule="atLeast"/>
        <w:rPr>
          <w:rFonts w:eastAsia="楷体_GB2312"/>
          <w:sz w:val="24"/>
        </w:rPr>
      </w:pPr>
    </w:p>
    <w:p w14:paraId="49DF47B8">
      <w:pPr>
        <w:numPr>
          <w:ilvl w:val="2"/>
          <w:numId w:val="4"/>
        </w:numPr>
        <w:tabs>
          <w:tab w:val="left" w:pos="900"/>
        </w:tabs>
        <w:spacing w:line="380" w:lineRule="atLeast"/>
        <w:ind w:left="1620" w:hanging="769"/>
        <w:rPr>
          <w:rFonts w:eastAsia="楷体_GB2312"/>
          <w:sz w:val="24"/>
        </w:rPr>
      </w:pPr>
      <w:r>
        <w:rPr>
          <w:rFonts w:eastAsia="楷体_GB2312"/>
          <w:sz w:val="24"/>
        </w:rPr>
        <w:t>在“信托财产交付日”，“受托人”将按照本合同第</w:t>
      </w:r>
      <w:r>
        <w:rPr>
          <w:rFonts w:eastAsia="楷体_GB2312"/>
          <w:sz w:val="24"/>
        </w:rPr>
        <w:fldChar w:fldCharType="begin"/>
      </w:r>
      <w:r>
        <w:rPr>
          <w:rFonts w:eastAsia="楷体_GB2312"/>
          <w:sz w:val="24"/>
        </w:rPr>
        <w:instrText xml:space="preserve"> REF _Ref331770629 \r \h </w:instrText>
      </w:r>
      <w:r>
        <w:rPr>
          <w:rFonts w:eastAsia="楷体_GB2312"/>
          <w:sz w:val="24"/>
        </w:rPr>
        <w:fldChar w:fldCharType="separate"/>
      </w:r>
      <w:r>
        <w:rPr>
          <w:rFonts w:eastAsia="楷体_GB2312"/>
          <w:sz w:val="24"/>
        </w:rPr>
        <w:t>3.10</w:t>
      </w:r>
      <w:r>
        <w:rPr>
          <w:rFonts w:eastAsia="楷体_GB2312"/>
          <w:sz w:val="24"/>
        </w:rPr>
        <w:fldChar w:fldCharType="end"/>
      </w:r>
      <w:r>
        <w:rPr>
          <w:rFonts w:eastAsia="楷体_GB2312"/>
          <w:sz w:val="24"/>
        </w:rPr>
        <w:t>款的约定将“资产支持证券募集资金”支付给“委托人”。</w:t>
      </w:r>
    </w:p>
    <w:p w14:paraId="15CF325E">
      <w:pPr>
        <w:spacing w:line="360" w:lineRule="auto"/>
        <w:ind w:left="1560"/>
        <w:rPr>
          <w:rFonts w:eastAsia="楷体_GB2312"/>
          <w:b/>
          <w:bCs/>
          <w:i/>
          <w:iCs/>
          <w:color w:val="FF0000"/>
          <w:kern w:val="2"/>
          <w:sz w:val="24"/>
          <w:szCs w:val="24"/>
        </w:rPr>
      </w:pPr>
      <w:r>
        <w:rPr>
          <w:rFonts w:eastAsia="楷体_GB2312"/>
          <w:b/>
          <w:bCs/>
          <w:i/>
          <w:iCs/>
          <w:color w:val="FF0000"/>
          <w:kern w:val="2"/>
          <w:sz w:val="24"/>
          <w:szCs w:val="24"/>
        </w:rPr>
        <w:t>【注：资产支持证券募集资金的支付方式，可根据项目实际情况进行调整。】</w:t>
      </w:r>
    </w:p>
    <w:p w14:paraId="48CBEF6E">
      <w:pPr>
        <w:tabs>
          <w:tab w:val="left" w:pos="425"/>
          <w:tab w:val="left" w:pos="900"/>
          <w:tab w:val="left" w:pos="1571"/>
        </w:tabs>
        <w:spacing w:line="380" w:lineRule="atLeast"/>
        <w:rPr>
          <w:rFonts w:eastAsia="楷体_GB2312"/>
          <w:sz w:val="24"/>
        </w:rPr>
      </w:pPr>
    </w:p>
    <w:p w14:paraId="52AD1A0A">
      <w:pPr>
        <w:numPr>
          <w:ilvl w:val="2"/>
          <w:numId w:val="4"/>
        </w:numPr>
        <w:tabs>
          <w:tab w:val="left" w:pos="900"/>
        </w:tabs>
        <w:spacing w:line="380" w:lineRule="atLeast"/>
        <w:ind w:left="1620" w:hanging="769"/>
        <w:rPr>
          <w:rFonts w:eastAsia="楷体_GB2312"/>
          <w:sz w:val="24"/>
        </w:rPr>
      </w:pPr>
      <w:r>
        <w:rPr>
          <w:rFonts w:eastAsia="楷体_GB2312"/>
          <w:sz w:val="24"/>
        </w:rPr>
        <w:t>根据本合同的约定，“受托人”应妥善保存“资产支持证券持有人”名单。</w:t>
      </w:r>
    </w:p>
    <w:p w14:paraId="55CCCB9F">
      <w:pPr>
        <w:tabs>
          <w:tab w:val="left" w:pos="2160"/>
        </w:tabs>
        <w:spacing w:line="380" w:lineRule="atLeast"/>
        <w:ind w:left="1080"/>
        <w:rPr>
          <w:rFonts w:eastAsia="楷体_GB2312"/>
          <w:sz w:val="24"/>
        </w:rPr>
      </w:pPr>
    </w:p>
    <w:p w14:paraId="2CAC725F">
      <w:pPr>
        <w:numPr>
          <w:ilvl w:val="2"/>
          <w:numId w:val="4"/>
        </w:numPr>
        <w:tabs>
          <w:tab w:val="left" w:pos="900"/>
        </w:tabs>
        <w:spacing w:line="380" w:lineRule="atLeast"/>
        <w:ind w:left="1620" w:hanging="769"/>
        <w:rPr>
          <w:rFonts w:eastAsia="楷体_GB2312"/>
          <w:sz w:val="24"/>
        </w:rPr>
      </w:pPr>
      <w:r>
        <w:rPr>
          <w:rFonts w:eastAsia="楷体_GB2312"/>
          <w:sz w:val="24"/>
        </w:rPr>
        <w:t>“受托人”应根据有关规定，对“信托”进行会计核算和报告。</w:t>
      </w:r>
    </w:p>
    <w:p w14:paraId="6EAC77A8">
      <w:pPr>
        <w:tabs>
          <w:tab w:val="left" w:pos="2160"/>
        </w:tabs>
        <w:spacing w:line="380" w:lineRule="atLeast"/>
        <w:ind w:left="1080"/>
        <w:rPr>
          <w:rFonts w:eastAsia="楷体_GB2312"/>
          <w:sz w:val="24"/>
        </w:rPr>
      </w:pPr>
    </w:p>
    <w:p w14:paraId="69775D5E">
      <w:pPr>
        <w:numPr>
          <w:ilvl w:val="2"/>
          <w:numId w:val="4"/>
        </w:numPr>
        <w:tabs>
          <w:tab w:val="left" w:pos="900"/>
        </w:tabs>
        <w:spacing w:line="380" w:lineRule="atLeast"/>
        <w:ind w:left="1620" w:hanging="769"/>
        <w:rPr>
          <w:rFonts w:eastAsia="楷体_GB2312"/>
          <w:sz w:val="24"/>
        </w:rPr>
      </w:pPr>
      <w:r>
        <w:rPr>
          <w:rFonts w:eastAsia="楷体_GB2312"/>
          <w:sz w:val="24"/>
        </w:rPr>
        <w:t>“受托人”应聘请</w:t>
      </w:r>
      <w:r>
        <w:rPr>
          <w:rStyle w:val="63"/>
          <w:rFonts w:eastAsia="楷体_GB2312"/>
          <w:color w:val="auto"/>
          <w:w w:val="0"/>
          <w:sz w:val="24"/>
          <w:u w:val="none"/>
        </w:rPr>
        <w:t>“评级机构”</w:t>
      </w:r>
      <w:r>
        <w:rPr>
          <w:rFonts w:eastAsia="楷体_GB2312"/>
          <w:sz w:val="24"/>
        </w:rPr>
        <w:t>对“优先级资产支持证券”进行跟踪评级。</w:t>
      </w:r>
    </w:p>
    <w:p w14:paraId="2345CA5F">
      <w:pPr>
        <w:tabs>
          <w:tab w:val="left" w:pos="2160"/>
        </w:tabs>
        <w:spacing w:line="380" w:lineRule="atLeast"/>
        <w:ind w:left="1080"/>
        <w:rPr>
          <w:rFonts w:eastAsia="楷体_GB2312"/>
          <w:sz w:val="24"/>
        </w:rPr>
      </w:pPr>
    </w:p>
    <w:p w14:paraId="47717594">
      <w:pPr>
        <w:numPr>
          <w:ilvl w:val="2"/>
          <w:numId w:val="4"/>
        </w:numPr>
        <w:tabs>
          <w:tab w:val="left" w:pos="900"/>
        </w:tabs>
        <w:spacing w:line="380" w:lineRule="atLeast"/>
        <w:ind w:left="1620" w:hanging="769"/>
        <w:rPr>
          <w:rFonts w:eastAsia="楷体_GB2312"/>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应委托有资质的商业银行担任</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，并依照本合同分别委托其他有业务资格的机构履行</w:t>
      </w:r>
      <w:r>
        <w:rPr>
          <w:rFonts w:eastAsia="楷体_GB2312"/>
          <w:sz w:val="24"/>
        </w:rPr>
        <w:t>“</w:t>
      </w:r>
      <w:r>
        <w:rPr>
          <w:rFonts w:eastAsia="楷体_GB2312"/>
          <w:color w:val="000000"/>
          <w:sz w:val="24"/>
        </w:rPr>
        <w:t>信贷资产</w:t>
      </w:r>
      <w:r>
        <w:rPr>
          <w:rFonts w:eastAsia="楷体_GB2312"/>
          <w:sz w:val="24"/>
        </w:rPr>
        <w:t>”</w:t>
      </w:r>
      <w:r>
        <w:rPr>
          <w:rFonts w:eastAsia="楷体_GB2312"/>
          <w:color w:val="000000"/>
          <w:sz w:val="24"/>
        </w:rPr>
        <w:t>管理、登记托管等其他受托职责。</w:t>
      </w:r>
    </w:p>
    <w:p w14:paraId="66B88B26">
      <w:pPr>
        <w:tabs>
          <w:tab w:val="left" w:pos="2160"/>
        </w:tabs>
        <w:spacing w:line="380" w:lineRule="atLeast"/>
        <w:ind w:left="1080"/>
        <w:rPr>
          <w:rFonts w:eastAsia="楷体_GB2312"/>
          <w:sz w:val="24"/>
        </w:rPr>
      </w:pPr>
    </w:p>
    <w:p w14:paraId="50BF2F95">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除本合同另有约定外，</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应亲自处理信托事务，非按本合同约定或经</w:t>
      </w:r>
      <w:r>
        <w:rPr>
          <w:rFonts w:eastAsia="楷体_GB2312"/>
          <w:sz w:val="24"/>
        </w:rPr>
        <w:t>“</w:t>
      </w:r>
      <w:r>
        <w:rPr>
          <w:rFonts w:eastAsia="楷体_GB2312"/>
          <w:color w:val="000000"/>
          <w:sz w:val="24"/>
        </w:rPr>
        <w:t>资产支持证券持有人大会</w:t>
      </w:r>
      <w:r>
        <w:rPr>
          <w:rFonts w:eastAsia="楷体_GB2312"/>
          <w:sz w:val="24"/>
        </w:rPr>
        <w:t>”</w:t>
      </w:r>
      <w:r>
        <w:rPr>
          <w:rFonts w:eastAsia="楷体_GB2312"/>
          <w:color w:val="000000"/>
          <w:sz w:val="24"/>
        </w:rPr>
        <w:t>的同意，不得变更本合同项下所确定的</w:t>
      </w:r>
      <w:r>
        <w:rPr>
          <w:rFonts w:eastAsia="楷体_GB2312"/>
          <w:sz w:val="24"/>
        </w:rPr>
        <w:t>“</w:t>
      </w:r>
      <w:r>
        <w:rPr>
          <w:rFonts w:eastAsia="楷体_GB2312"/>
          <w:color w:val="000000"/>
          <w:sz w:val="24"/>
        </w:rPr>
        <w:t>贷款服务机构</w:t>
      </w:r>
      <w:r>
        <w:rPr>
          <w:rFonts w:eastAsia="楷体_GB2312"/>
          <w:sz w:val="24"/>
        </w:rPr>
        <w:t>”</w:t>
      </w:r>
      <w:r>
        <w:rPr>
          <w:rFonts w:eastAsia="楷体_GB2312"/>
          <w:color w:val="000000"/>
          <w:sz w:val="24"/>
        </w:rPr>
        <w:t>、</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w:t>
      </w:r>
    </w:p>
    <w:p w14:paraId="51914DDB">
      <w:pPr>
        <w:tabs>
          <w:tab w:val="left" w:pos="2160"/>
        </w:tabs>
        <w:spacing w:line="380" w:lineRule="atLeast"/>
        <w:ind w:left="1080"/>
        <w:rPr>
          <w:rFonts w:eastAsia="楷体_GB2312"/>
          <w:color w:val="000000"/>
          <w:sz w:val="24"/>
        </w:rPr>
      </w:pPr>
    </w:p>
    <w:p w14:paraId="4E64A585">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从事信托活动，应当遵守</w:t>
      </w:r>
      <w:r>
        <w:rPr>
          <w:rFonts w:eastAsia="楷体_GB2312"/>
          <w:sz w:val="24"/>
        </w:rPr>
        <w:t>“中国法律”的规定</w:t>
      </w:r>
      <w:r>
        <w:rPr>
          <w:rFonts w:eastAsia="楷体_GB2312"/>
          <w:color w:val="000000"/>
          <w:sz w:val="24"/>
        </w:rPr>
        <w:t>和本合同的约定，不得损害国家利益、社会公众利益和他人的合法权益。</w:t>
      </w:r>
    </w:p>
    <w:p w14:paraId="062ECCCA">
      <w:pPr>
        <w:tabs>
          <w:tab w:val="left" w:pos="2160"/>
        </w:tabs>
        <w:spacing w:line="380" w:lineRule="atLeast"/>
        <w:ind w:left="1080"/>
        <w:rPr>
          <w:rFonts w:eastAsia="楷体_GB2312"/>
          <w:color w:val="000000"/>
          <w:sz w:val="24"/>
        </w:rPr>
      </w:pPr>
    </w:p>
    <w:p w14:paraId="4C732352">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管理、处分</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所产生的债权，不得与</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固有财产产生的债务相抵销；</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管理、处分不同信托的</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所产生的债权债务，不得相互抵销。</w:t>
      </w:r>
    </w:p>
    <w:p w14:paraId="781ED4A1">
      <w:pPr>
        <w:tabs>
          <w:tab w:val="left" w:pos="2160"/>
        </w:tabs>
        <w:spacing w:line="380" w:lineRule="atLeast"/>
        <w:ind w:left="1080"/>
        <w:rPr>
          <w:rFonts w:eastAsia="楷体_GB2312"/>
          <w:color w:val="000000"/>
          <w:sz w:val="24"/>
        </w:rPr>
      </w:pPr>
    </w:p>
    <w:p w14:paraId="51D02E81">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在管理、处分</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时，不得违反“信托”目的或者违背管理职责。因</w:t>
      </w:r>
      <w:r>
        <w:rPr>
          <w:rFonts w:eastAsia="楷体_GB2312"/>
          <w:sz w:val="24"/>
        </w:rPr>
        <w:t>“</w:t>
      </w:r>
      <w:r>
        <w:rPr>
          <w:rFonts w:eastAsia="楷体_GB2312"/>
          <w:color w:val="000000"/>
          <w:sz w:val="24"/>
        </w:rPr>
        <w:t>受托人</w:t>
      </w:r>
      <w:r>
        <w:rPr>
          <w:rFonts w:eastAsia="楷体_GB2312"/>
          <w:sz w:val="24"/>
        </w:rPr>
        <w:t>”违反“信托”目的、</w:t>
      </w:r>
      <w:r>
        <w:rPr>
          <w:rFonts w:eastAsia="楷体_GB2312"/>
          <w:color w:val="000000"/>
          <w:sz w:val="24"/>
        </w:rPr>
        <w:t>违背管理职责或处理信托事务不当，</w:t>
      </w:r>
      <w:bookmarkStart w:id="188" w:name="_DV_C366"/>
      <w:r>
        <w:rPr>
          <w:rStyle w:val="63"/>
          <w:rFonts w:eastAsia="楷体_GB2312"/>
          <w:color w:val="auto"/>
          <w:w w:val="0"/>
          <w:sz w:val="24"/>
          <w:u w:val="none"/>
        </w:rPr>
        <w:t>导致“信托财产”损失的，“受托人”以其固有财产承担赔偿责任；因“受托人”违反“信托”目的、违背管理职责或处理信托事务不当而造成“委托人”、“受益人”或其他</w:t>
      </w:r>
      <w:bookmarkEnd w:id="188"/>
      <w:r>
        <w:rPr>
          <w:rFonts w:eastAsia="楷体_GB2312"/>
          <w:color w:val="000000"/>
          <w:sz w:val="24"/>
        </w:rPr>
        <w:t>第三人损失的，应当以其固有财产承担；如使其固有财产受到损失的，则</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自行承担。</w:t>
      </w:r>
    </w:p>
    <w:p w14:paraId="3A94FB2E">
      <w:pPr>
        <w:tabs>
          <w:tab w:val="left" w:pos="2160"/>
        </w:tabs>
        <w:spacing w:line="380" w:lineRule="atLeast"/>
        <w:ind w:left="1080"/>
        <w:rPr>
          <w:rFonts w:eastAsia="楷体_GB2312"/>
          <w:sz w:val="24"/>
        </w:rPr>
      </w:pPr>
    </w:p>
    <w:p w14:paraId="0074F845">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应当遵守本合同的约定，本着忠实于</w:t>
      </w:r>
      <w:r>
        <w:rPr>
          <w:rFonts w:eastAsia="楷体_GB2312"/>
          <w:sz w:val="24"/>
        </w:rPr>
        <w:t>“</w:t>
      </w:r>
      <w:r>
        <w:rPr>
          <w:rFonts w:eastAsia="楷体_GB2312"/>
          <w:color w:val="000000"/>
          <w:sz w:val="24"/>
        </w:rPr>
        <w:t>受益人</w:t>
      </w:r>
      <w:r>
        <w:rPr>
          <w:rFonts w:eastAsia="楷体_GB2312"/>
          <w:sz w:val="24"/>
        </w:rPr>
        <w:t>”</w:t>
      </w:r>
      <w:r>
        <w:rPr>
          <w:rFonts w:eastAsia="楷体_GB2312"/>
          <w:color w:val="000000"/>
          <w:sz w:val="24"/>
        </w:rPr>
        <w:t>最大利益的原则处理信托事务；</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管理</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，必须恪尽职守，履行诚实、信用、谨慎管理的义务。</w:t>
      </w:r>
    </w:p>
    <w:p w14:paraId="22651967">
      <w:pPr>
        <w:tabs>
          <w:tab w:val="left" w:pos="2160"/>
        </w:tabs>
        <w:spacing w:line="380" w:lineRule="atLeast"/>
        <w:ind w:left="1080"/>
        <w:rPr>
          <w:rFonts w:eastAsia="楷体_GB2312"/>
          <w:color w:val="000000"/>
          <w:sz w:val="24"/>
        </w:rPr>
      </w:pPr>
    </w:p>
    <w:p w14:paraId="1B8C4FF3">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不得将</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转为其固有财产；</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将</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转为其固有财产的，必须恢复该</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的原状；造成</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损失的，应当承担赔偿责任。</w:t>
      </w:r>
    </w:p>
    <w:p w14:paraId="70E3DFD9">
      <w:pPr>
        <w:tabs>
          <w:tab w:val="left" w:pos="2160"/>
        </w:tabs>
        <w:spacing w:line="380" w:lineRule="atLeast"/>
        <w:ind w:left="1080"/>
        <w:rPr>
          <w:rFonts w:eastAsia="楷体_GB2312"/>
          <w:color w:val="000000"/>
          <w:sz w:val="24"/>
        </w:rPr>
      </w:pPr>
    </w:p>
    <w:p w14:paraId="710F83B9">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除依照本合同的约定取得信托报酬外，不得利用</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为自己谋取利益，</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利用</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为自己谋取利益的，所得利益归入</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；造成“信托财产”损失的，</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应当以固有财产承担赔偿责任。</w:t>
      </w:r>
    </w:p>
    <w:p w14:paraId="7B3D4A69">
      <w:pPr>
        <w:pStyle w:val="78"/>
        <w:ind w:firstLine="480"/>
        <w:rPr>
          <w:rFonts w:eastAsia="楷体_GB2312"/>
          <w:color w:val="000000"/>
          <w:sz w:val="24"/>
        </w:rPr>
      </w:pPr>
    </w:p>
    <w:p w14:paraId="795CA83C">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除非发生“违约事件”或在“信托”终止后取得“资产支持证券持有人大会”的批准，不得出售、转让全部或部分“信托财产”（根据本合同第</w:t>
      </w:r>
      <w:r>
        <w:rPr>
          <w:rFonts w:eastAsia="楷体_GB2312"/>
        </w:rPr>
        <w:fldChar w:fldCharType="begin"/>
      </w:r>
      <w:r>
        <w:rPr>
          <w:rFonts w:eastAsia="楷体_GB2312"/>
        </w:rPr>
        <w:instrText xml:space="preserve"> REF _Ref373951204 \r \h  \* MERGEFORMAT </w:instrText>
      </w:r>
      <w:r>
        <w:rPr>
          <w:rFonts w:eastAsia="楷体_GB2312"/>
        </w:rPr>
        <w:fldChar w:fldCharType="separate"/>
      </w:r>
      <w:r>
        <w:rPr>
          <w:rFonts w:eastAsia="楷体_GB2312"/>
          <w:color w:val="000000"/>
          <w:sz w:val="24"/>
        </w:rPr>
        <w:t>12</w:t>
      </w:r>
      <w:r>
        <w:rPr>
          <w:rFonts w:eastAsia="楷体_GB2312"/>
        </w:rPr>
        <w:fldChar w:fldCharType="end"/>
      </w:r>
      <w:r>
        <w:rPr>
          <w:rFonts w:eastAsia="楷体_GB2312"/>
          <w:color w:val="000000"/>
          <w:sz w:val="24"/>
        </w:rPr>
        <w:t>条要求“委托人”“赎回</w:t>
      </w:r>
      <w:r>
        <w:rPr>
          <w:rFonts w:eastAsia="楷体_GB2312"/>
          <w:sz w:val="24"/>
        </w:rPr>
        <w:t>”</w:t>
      </w:r>
      <w:r>
        <w:rPr>
          <w:rFonts w:eastAsia="楷体_GB2312"/>
          <w:color w:val="000000"/>
          <w:sz w:val="24"/>
        </w:rPr>
        <w:t>“不合格信贷资产”、根据本合同第</w:t>
      </w:r>
      <w:r>
        <w:rPr>
          <w:rFonts w:eastAsia="楷体_GB2312"/>
        </w:rPr>
        <w:fldChar w:fldCharType="begin"/>
      </w:r>
      <w:r>
        <w:rPr>
          <w:rFonts w:eastAsia="楷体_GB2312"/>
        </w:rPr>
        <w:instrText xml:space="preserve"> REF _Ref422927114 \r \h  \* MERGEFORMAT </w:instrText>
      </w:r>
      <w:r>
        <w:rPr>
          <w:rFonts w:eastAsia="楷体_GB2312"/>
        </w:rPr>
        <w:fldChar w:fldCharType="separate"/>
      </w:r>
      <w:r>
        <w:rPr>
          <w:rFonts w:eastAsia="楷体_GB2312"/>
          <w:color w:val="000000"/>
          <w:sz w:val="24"/>
        </w:rPr>
        <w:t>14</w:t>
      </w:r>
      <w:r>
        <w:rPr>
          <w:rFonts w:eastAsia="楷体_GB2312"/>
        </w:rPr>
        <w:fldChar w:fldCharType="end"/>
      </w:r>
      <w:r>
        <w:rPr>
          <w:rFonts w:eastAsia="楷体_GB2312"/>
          <w:color w:val="000000"/>
          <w:sz w:val="24"/>
        </w:rPr>
        <w:t>条接受“委托人”“清仓回购”除外）。“受托人”根据“交易文件”的约定出售、转让全部或部分“信托财产”（根据本合同第</w:t>
      </w:r>
      <w:r>
        <w:rPr>
          <w:rFonts w:eastAsia="楷体_GB2312"/>
        </w:rPr>
        <w:fldChar w:fldCharType="begin"/>
      </w:r>
      <w:r>
        <w:rPr>
          <w:rFonts w:eastAsia="楷体_GB2312"/>
        </w:rPr>
        <w:instrText xml:space="preserve"> REF _Ref373951204 \r \h  \* MERGEFORMAT </w:instrText>
      </w:r>
      <w:r>
        <w:rPr>
          <w:rFonts w:eastAsia="楷体_GB2312"/>
        </w:rPr>
        <w:fldChar w:fldCharType="separate"/>
      </w:r>
      <w:r>
        <w:rPr>
          <w:rFonts w:eastAsia="楷体_GB2312"/>
          <w:color w:val="000000"/>
          <w:sz w:val="24"/>
        </w:rPr>
        <w:t>12</w:t>
      </w:r>
      <w:r>
        <w:rPr>
          <w:rFonts w:eastAsia="楷体_GB2312"/>
        </w:rPr>
        <w:fldChar w:fldCharType="end"/>
      </w:r>
      <w:r>
        <w:rPr>
          <w:rFonts w:eastAsia="楷体_GB2312"/>
          <w:color w:val="000000"/>
          <w:sz w:val="24"/>
        </w:rPr>
        <w:t>条要求“委托人”“赎回”“不合格信贷资产”、根据本合同第</w:t>
      </w:r>
      <w:r>
        <w:rPr>
          <w:rFonts w:eastAsia="楷体_GB2312"/>
        </w:rPr>
        <w:fldChar w:fldCharType="begin"/>
      </w:r>
      <w:r>
        <w:rPr>
          <w:rFonts w:eastAsia="楷体_GB2312"/>
        </w:rPr>
        <w:instrText xml:space="preserve"> REF _Ref482095896 \r \h  \* MERGEFORMAT </w:instrText>
      </w:r>
      <w:r>
        <w:rPr>
          <w:rFonts w:eastAsia="楷体_GB2312"/>
        </w:rPr>
        <w:fldChar w:fldCharType="separate"/>
      </w:r>
      <w:r>
        <w:rPr>
          <w:rFonts w:eastAsia="楷体_GB2312"/>
          <w:color w:val="000000"/>
          <w:sz w:val="24"/>
        </w:rPr>
        <w:t>14</w:t>
      </w:r>
      <w:r>
        <w:rPr>
          <w:rFonts w:eastAsia="楷体_GB2312"/>
        </w:rPr>
        <w:fldChar w:fldCharType="end"/>
      </w:r>
      <w:r>
        <w:rPr>
          <w:rFonts w:eastAsia="楷体_GB2312"/>
          <w:color w:val="000000"/>
          <w:sz w:val="24"/>
        </w:rPr>
        <w:t>条接受“委托人”“清仓回购”的除外）的，应及时通知“评级机构”。</w:t>
      </w:r>
    </w:p>
    <w:p w14:paraId="72AEFD01">
      <w:pPr>
        <w:tabs>
          <w:tab w:val="left" w:pos="2160"/>
        </w:tabs>
        <w:spacing w:line="380" w:lineRule="atLeast"/>
        <w:ind w:left="1080"/>
        <w:rPr>
          <w:rFonts w:eastAsia="楷体_GB2312"/>
          <w:color w:val="000000"/>
          <w:sz w:val="24"/>
        </w:rPr>
      </w:pPr>
    </w:p>
    <w:p w14:paraId="3E2D0F44">
      <w:pPr>
        <w:numPr>
          <w:ilvl w:val="2"/>
          <w:numId w:val="4"/>
        </w:numPr>
        <w:tabs>
          <w:tab w:val="left" w:pos="900"/>
        </w:tabs>
        <w:spacing w:line="380" w:lineRule="atLeast"/>
        <w:ind w:left="1620" w:hanging="769"/>
        <w:rPr>
          <w:rFonts w:eastAsia="楷体_GB2312"/>
          <w:sz w:val="24"/>
        </w:rPr>
      </w:pPr>
      <w:r>
        <w:rPr>
          <w:rFonts w:eastAsia="楷体_GB2312"/>
          <w:color w:val="000000"/>
          <w:sz w:val="24"/>
        </w:rPr>
        <w:t>除经“委托人”同意并且以公平的市场价格进行交易之外，</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不得将其固有财产与本合同项下</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进行交易或者</w:t>
      </w:r>
      <w:r>
        <w:rPr>
          <w:rFonts w:eastAsia="楷体_GB2312"/>
          <w:sz w:val="24"/>
        </w:rPr>
        <w:t>将不同信托的信托财产与本合同项下的“信托财产”相互交易。</w:t>
      </w:r>
    </w:p>
    <w:p w14:paraId="61AF7FF0">
      <w:pPr>
        <w:tabs>
          <w:tab w:val="left" w:pos="2160"/>
        </w:tabs>
        <w:spacing w:line="380" w:lineRule="atLeast"/>
        <w:ind w:left="1080"/>
        <w:rPr>
          <w:rFonts w:eastAsia="楷体_GB2312"/>
          <w:sz w:val="24"/>
        </w:rPr>
      </w:pPr>
    </w:p>
    <w:p w14:paraId="24CC0B08">
      <w:pPr>
        <w:numPr>
          <w:ilvl w:val="2"/>
          <w:numId w:val="4"/>
        </w:numPr>
        <w:tabs>
          <w:tab w:val="left" w:pos="900"/>
        </w:tabs>
        <w:spacing w:line="380" w:lineRule="atLeast"/>
        <w:ind w:left="1620" w:hanging="769"/>
        <w:rPr>
          <w:rFonts w:eastAsia="楷体_GB2312"/>
          <w:color w:val="000000"/>
          <w:sz w:val="24"/>
        </w:rPr>
      </w:pPr>
      <w:r>
        <w:rPr>
          <w:rFonts w:eastAsia="楷体_GB2312"/>
          <w:sz w:val="24"/>
        </w:rPr>
        <w:t>“受</w:t>
      </w:r>
      <w:r>
        <w:rPr>
          <w:rFonts w:eastAsia="楷体_GB2312"/>
          <w:color w:val="000000"/>
          <w:sz w:val="24"/>
        </w:rPr>
        <w:t>托人</w:t>
      </w:r>
      <w:r>
        <w:rPr>
          <w:rFonts w:eastAsia="楷体_GB2312"/>
          <w:sz w:val="24"/>
        </w:rPr>
        <w:t>”</w:t>
      </w:r>
      <w:r>
        <w:rPr>
          <w:rFonts w:eastAsia="楷体_GB2312"/>
          <w:color w:val="000000"/>
          <w:sz w:val="24"/>
        </w:rPr>
        <w:t>应将</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与其固有财产分开管理，并将不同信托的财产分别记账。</w:t>
      </w:r>
    </w:p>
    <w:p w14:paraId="42CFFA83">
      <w:pPr>
        <w:tabs>
          <w:tab w:val="left" w:pos="2160"/>
        </w:tabs>
        <w:spacing w:line="380" w:lineRule="atLeast"/>
        <w:ind w:left="1080"/>
        <w:rPr>
          <w:rFonts w:eastAsia="楷体_GB2312"/>
          <w:color w:val="000000"/>
          <w:sz w:val="24"/>
        </w:rPr>
      </w:pPr>
    </w:p>
    <w:p w14:paraId="3FCA4DCE">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应妥为保存处理信托事务的完整记录，保存期限自本</w:t>
      </w:r>
      <w:r>
        <w:rPr>
          <w:rFonts w:eastAsia="楷体_GB2312"/>
          <w:sz w:val="24"/>
        </w:rPr>
        <w:t>“</w:t>
      </w:r>
      <w:r>
        <w:rPr>
          <w:rFonts w:eastAsia="楷体_GB2312"/>
          <w:color w:val="000000"/>
          <w:sz w:val="24"/>
        </w:rPr>
        <w:t>信托</w:t>
      </w:r>
      <w:r>
        <w:rPr>
          <w:rFonts w:eastAsia="楷体_GB2312"/>
          <w:sz w:val="24"/>
        </w:rPr>
        <w:t>”</w:t>
      </w:r>
      <w:r>
        <w:rPr>
          <w:rFonts w:eastAsia="楷体_GB2312"/>
          <w:color w:val="000000"/>
          <w:sz w:val="24"/>
        </w:rPr>
        <w:t>终止之日起不得少于十五年。</w:t>
      </w:r>
    </w:p>
    <w:p w14:paraId="4F17A5FC">
      <w:pPr>
        <w:tabs>
          <w:tab w:val="left" w:pos="2160"/>
        </w:tabs>
        <w:spacing w:line="380" w:lineRule="atLeast"/>
        <w:ind w:left="1080"/>
        <w:rPr>
          <w:rFonts w:eastAsia="楷体_GB2312"/>
          <w:color w:val="000000"/>
          <w:sz w:val="24"/>
        </w:rPr>
      </w:pPr>
    </w:p>
    <w:p w14:paraId="59479FB1">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应当按照相关</w:t>
      </w:r>
      <w:r>
        <w:rPr>
          <w:rFonts w:eastAsia="楷体_GB2312"/>
          <w:sz w:val="24"/>
        </w:rPr>
        <w:t>“中国法律”</w:t>
      </w:r>
      <w:r>
        <w:rPr>
          <w:rFonts w:eastAsia="楷体_GB2312"/>
          <w:color w:val="000000"/>
          <w:sz w:val="24"/>
        </w:rPr>
        <w:t>的规定和本合同的约定持续披露有关</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和</w:t>
      </w:r>
      <w:r>
        <w:rPr>
          <w:rFonts w:eastAsia="楷体_GB2312"/>
          <w:sz w:val="24"/>
        </w:rPr>
        <w:t>“</w:t>
      </w:r>
      <w:r>
        <w:rPr>
          <w:rFonts w:eastAsia="楷体_GB2312"/>
          <w:color w:val="000000"/>
          <w:sz w:val="24"/>
        </w:rPr>
        <w:t>资产支持证券</w:t>
      </w:r>
      <w:r>
        <w:rPr>
          <w:rFonts w:eastAsia="楷体_GB2312"/>
          <w:sz w:val="24"/>
        </w:rPr>
        <w:t>”</w:t>
      </w:r>
      <w:r>
        <w:rPr>
          <w:rFonts w:eastAsia="楷体_GB2312"/>
          <w:color w:val="000000"/>
          <w:sz w:val="24"/>
        </w:rPr>
        <w:t>的信息；在</w:t>
      </w:r>
      <w:r>
        <w:rPr>
          <w:rFonts w:eastAsia="楷体_GB2312"/>
          <w:sz w:val="24"/>
        </w:rPr>
        <w:t>“</w:t>
      </w:r>
      <w:r>
        <w:rPr>
          <w:rFonts w:eastAsia="楷体_GB2312"/>
          <w:color w:val="000000"/>
          <w:sz w:val="24"/>
        </w:rPr>
        <w:t>委托人</w:t>
      </w:r>
      <w:r>
        <w:rPr>
          <w:rFonts w:eastAsia="楷体_GB2312"/>
          <w:sz w:val="24"/>
        </w:rPr>
        <w:t>”</w:t>
      </w:r>
      <w:r>
        <w:rPr>
          <w:rFonts w:hint="eastAsia" w:eastAsia="楷体_GB2312"/>
          <w:sz w:val="24"/>
        </w:rPr>
        <w:t>依据</w:t>
      </w:r>
      <w:r>
        <w:rPr>
          <w:rFonts w:eastAsia="楷体_GB2312"/>
          <w:color w:val="000000"/>
          <w:sz w:val="24"/>
        </w:rPr>
        <w:t>本合同的约定向其了解</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的相关情况时，</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应积极配合并做出相应的说明。</w:t>
      </w:r>
    </w:p>
    <w:p w14:paraId="2BC63FC4">
      <w:pPr>
        <w:spacing w:line="380" w:lineRule="atLeast"/>
        <w:ind w:left="1080"/>
        <w:rPr>
          <w:rFonts w:eastAsia="楷体_GB2312"/>
          <w:sz w:val="24"/>
        </w:rPr>
      </w:pPr>
    </w:p>
    <w:p w14:paraId="6F88FC58">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应监督和督促其委托或聘请的</w:t>
      </w:r>
      <w:r>
        <w:rPr>
          <w:rFonts w:eastAsia="楷体_GB2312"/>
          <w:sz w:val="24"/>
        </w:rPr>
        <w:t>“</w:t>
      </w:r>
      <w:r>
        <w:rPr>
          <w:rFonts w:eastAsia="楷体_GB2312"/>
          <w:color w:val="000000"/>
          <w:sz w:val="24"/>
        </w:rPr>
        <w:t>贷款服务机构</w:t>
      </w:r>
      <w:r>
        <w:rPr>
          <w:rFonts w:eastAsia="楷体_GB2312"/>
          <w:sz w:val="24"/>
        </w:rPr>
        <w:t>”</w:t>
      </w:r>
      <w:r>
        <w:rPr>
          <w:rFonts w:eastAsia="楷体_GB2312"/>
          <w:color w:val="000000"/>
          <w:sz w:val="24"/>
        </w:rPr>
        <w:t>、</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及其他中介服务机构恪尽职守地履行其各自的职能和义务。</w:t>
      </w:r>
    </w:p>
    <w:p w14:paraId="7545BA5F">
      <w:pPr>
        <w:tabs>
          <w:tab w:val="left" w:pos="2160"/>
        </w:tabs>
        <w:spacing w:line="380" w:lineRule="atLeast"/>
        <w:ind w:left="1080"/>
        <w:rPr>
          <w:rFonts w:eastAsia="楷体_GB2312"/>
          <w:color w:val="000000"/>
          <w:sz w:val="24"/>
        </w:rPr>
      </w:pPr>
    </w:p>
    <w:p w14:paraId="0F0BB8D7">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在</w:t>
      </w:r>
      <w:r>
        <w:rPr>
          <w:rFonts w:eastAsia="楷体_GB2312"/>
          <w:sz w:val="24"/>
        </w:rPr>
        <w:t>“</w:t>
      </w:r>
      <w:r>
        <w:rPr>
          <w:rFonts w:eastAsia="楷体_GB2312"/>
          <w:color w:val="000000"/>
          <w:sz w:val="24"/>
        </w:rPr>
        <w:t>信托期限</w:t>
      </w:r>
      <w:r>
        <w:rPr>
          <w:rFonts w:eastAsia="楷体_GB2312"/>
          <w:sz w:val="24"/>
        </w:rPr>
        <w:t>”</w:t>
      </w:r>
      <w:r>
        <w:rPr>
          <w:rFonts w:eastAsia="楷体_GB2312"/>
          <w:color w:val="000000"/>
          <w:sz w:val="24"/>
        </w:rPr>
        <w:t>内，如</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职责终止，</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应妥善保管与</w:t>
      </w:r>
      <w:r>
        <w:rPr>
          <w:rFonts w:eastAsia="楷体_GB2312"/>
          <w:sz w:val="24"/>
        </w:rPr>
        <w:t>“</w:t>
      </w:r>
      <w:r>
        <w:rPr>
          <w:rFonts w:eastAsia="楷体_GB2312"/>
          <w:color w:val="000000"/>
          <w:sz w:val="24"/>
        </w:rPr>
        <w:t>信托</w:t>
      </w:r>
      <w:r>
        <w:rPr>
          <w:rFonts w:eastAsia="楷体_GB2312"/>
          <w:sz w:val="24"/>
        </w:rPr>
        <w:t>”</w:t>
      </w:r>
      <w:r>
        <w:rPr>
          <w:rFonts w:eastAsia="楷体_GB2312"/>
          <w:color w:val="000000"/>
          <w:sz w:val="24"/>
        </w:rPr>
        <w:t>相关的全部资料，并及时向新的</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办理移交手续。</w:t>
      </w:r>
    </w:p>
    <w:p w14:paraId="4FBEB9FD">
      <w:pPr>
        <w:tabs>
          <w:tab w:val="left" w:pos="2160"/>
        </w:tabs>
        <w:spacing w:line="380" w:lineRule="atLeast"/>
        <w:ind w:left="1080"/>
        <w:rPr>
          <w:rFonts w:eastAsia="楷体_GB2312"/>
          <w:color w:val="000000"/>
          <w:sz w:val="24"/>
        </w:rPr>
      </w:pPr>
    </w:p>
    <w:p w14:paraId="62F20D5A">
      <w:pPr>
        <w:numPr>
          <w:ilvl w:val="2"/>
          <w:numId w:val="4"/>
        </w:numPr>
        <w:tabs>
          <w:tab w:val="left" w:pos="900"/>
        </w:tabs>
        <w:spacing w:line="380" w:lineRule="atLeast"/>
        <w:ind w:left="1620" w:hanging="769"/>
        <w:rPr>
          <w:rFonts w:eastAsia="楷体_GB2312"/>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应根据</w:t>
      </w:r>
      <w:r>
        <w:rPr>
          <w:rFonts w:eastAsia="楷体_GB2312"/>
          <w:sz w:val="24"/>
        </w:rPr>
        <w:t>“中国法律”</w:t>
      </w:r>
      <w:r>
        <w:rPr>
          <w:rFonts w:eastAsia="楷体_GB2312"/>
          <w:color w:val="000000"/>
          <w:sz w:val="24"/>
        </w:rPr>
        <w:t>的规定和本合同的约</w:t>
      </w:r>
      <w:r>
        <w:rPr>
          <w:rFonts w:eastAsia="楷体_GB2312"/>
          <w:sz w:val="24"/>
        </w:rPr>
        <w:t>定对“信托利益”进行分配。</w:t>
      </w:r>
    </w:p>
    <w:p w14:paraId="7AF72BDB">
      <w:pPr>
        <w:tabs>
          <w:tab w:val="left" w:pos="2160"/>
        </w:tabs>
        <w:spacing w:line="380" w:lineRule="atLeast"/>
        <w:rPr>
          <w:rFonts w:eastAsia="楷体_GB2312"/>
          <w:color w:val="000000"/>
          <w:sz w:val="24"/>
        </w:rPr>
      </w:pPr>
    </w:p>
    <w:p w14:paraId="775A5B8E">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应履行</w:t>
      </w:r>
      <w:r>
        <w:rPr>
          <w:rFonts w:eastAsia="楷体_GB2312"/>
          <w:sz w:val="24"/>
        </w:rPr>
        <w:t>“中国法律”</w:t>
      </w:r>
      <w:r>
        <w:rPr>
          <w:rFonts w:eastAsia="楷体_GB2312"/>
          <w:color w:val="000000"/>
          <w:sz w:val="24"/>
        </w:rPr>
        <w:t>规定和本合同约定的其他与</w:t>
      </w:r>
      <w:r>
        <w:rPr>
          <w:rFonts w:eastAsia="楷体_GB2312"/>
          <w:sz w:val="24"/>
        </w:rPr>
        <w:t>本“信托”</w:t>
      </w:r>
      <w:r>
        <w:rPr>
          <w:rFonts w:eastAsia="楷体_GB2312"/>
          <w:color w:val="000000"/>
          <w:sz w:val="24"/>
        </w:rPr>
        <w:t>相关的义务。</w:t>
      </w:r>
    </w:p>
    <w:p w14:paraId="60773F1C">
      <w:pPr>
        <w:tabs>
          <w:tab w:val="left" w:pos="2160"/>
        </w:tabs>
        <w:spacing w:line="380" w:lineRule="atLeast"/>
        <w:rPr>
          <w:rFonts w:eastAsia="楷体_GB2312"/>
          <w:b/>
          <w:color w:val="FF6600"/>
          <w:sz w:val="24"/>
        </w:rPr>
      </w:pPr>
    </w:p>
    <w:p w14:paraId="59BCFDFF">
      <w:pPr>
        <w:numPr>
          <w:ilvl w:val="1"/>
          <w:numId w:val="4"/>
        </w:numPr>
        <w:tabs>
          <w:tab w:val="left" w:pos="900"/>
        </w:tabs>
        <w:spacing w:line="380" w:lineRule="atLeast"/>
        <w:outlineLvl w:val="1"/>
        <w:rPr>
          <w:rFonts w:eastAsia="楷体_GB2312"/>
          <w:b/>
          <w:sz w:val="24"/>
        </w:rPr>
      </w:pPr>
      <w:bookmarkStart w:id="189" w:name="_Toc111281782"/>
      <w:bookmarkStart w:id="190" w:name="_Toc110153432"/>
      <w:r>
        <w:rPr>
          <w:rFonts w:eastAsia="楷体_GB2312"/>
          <w:b/>
          <w:sz w:val="24"/>
        </w:rPr>
        <w:t>受</w:t>
      </w:r>
      <w:bookmarkStart w:id="191" w:name="_Toc92612918"/>
      <w:r>
        <w:rPr>
          <w:rFonts w:eastAsia="楷体_GB2312"/>
          <w:b/>
          <w:sz w:val="24"/>
        </w:rPr>
        <w:t>托人的陈述和</w:t>
      </w:r>
      <w:bookmarkEnd w:id="191"/>
      <w:r>
        <w:rPr>
          <w:rFonts w:eastAsia="楷体_GB2312"/>
          <w:b/>
          <w:sz w:val="24"/>
        </w:rPr>
        <w:t>保证</w:t>
      </w:r>
      <w:bookmarkEnd w:id="189"/>
      <w:bookmarkEnd w:id="190"/>
    </w:p>
    <w:p w14:paraId="4268FDE6">
      <w:pPr>
        <w:spacing w:line="380" w:lineRule="atLeast"/>
        <w:rPr>
          <w:rFonts w:eastAsia="楷体_GB2312"/>
          <w:sz w:val="24"/>
        </w:rPr>
      </w:pPr>
    </w:p>
    <w:p w14:paraId="50E1275C">
      <w:pPr>
        <w:spacing w:line="380" w:lineRule="atLeast"/>
        <w:ind w:left="912" w:leftChars="456"/>
        <w:rPr>
          <w:rFonts w:eastAsia="楷体_GB2312"/>
          <w:sz w:val="24"/>
        </w:rPr>
      </w:pPr>
      <w:r>
        <w:rPr>
          <w:rFonts w:eastAsia="楷体_GB2312"/>
          <w:sz w:val="24"/>
        </w:rPr>
        <w:t>在本合同签署之日以及“信托财产交付日”，“受托人”为本合同各方的利益陈述和保证如下：</w:t>
      </w:r>
    </w:p>
    <w:p w14:paraId="68AFE736">
      <w:pPr>
        <w:pStyle w:val="39"/>
        <w:spacing w:after="0" w:line="380" w:lineRule="atLeast"/>
        <w:ind w:left="420"/>
        <w:rPr>
          <w:rFonts w:eastAsia="楷体_GB2312"/>
          <w:lang w:eastAsia="zh-CN"/>
        </w:rPr>
      </w:pPr>
    </w:p>
    <w:p w14:paraId="3F45E6F2">
      <w:pPr>
        <w:numPr>
          <w:ilvl w:val="2"/>
          <w:numId w:val="4"/>
        </w:numPr>
        <w:tabs>
          <w:tab w:val="left" w:pos="900"/>
        </w:tabs>
        <w:spacing w:line="380" w:lineRule="atLeast"/>
        <w:ind w:left="1620" w:hanging="769"/>
        <w:rPr>
          <w:rFonts w:eastAsia="楷体_GB2312"/>
          <w:color w:val="000000"/>
          <w:sz w:val="24"/>
        </w:rPr>
      </w:pPr>
      <w:bookmarkStart w:id="192" w:name="_DV_M449"/>
      <w:bookmarkEnd w:id="192"/>
      <w:r>
        <w:rPr>
          <w:rFonts w:eastAsia="楷体_GB2312"/>
          <w:color w:val="000000"/>
          <w:sz w:val="24"/>
        </w:rPr>
        <w:t>“受托人”按照</w:t>
      </w:r>
      <w:r>
        <w:rPr>
          <w:rFonts w:eastAsia="楷体_GB2312"/>
          <w:sz w:val="24"/>
        </w:rPr>
        <w:t>“</w:t>
      </w:r>
      <w:r>
        <w:rPr>
          <w:rFonts w:eastAsia="楷体_GB2312"/>
          <w:color w:val="000000"/>
          <w:sz w:val="24"/>
        </w:rPr>
        <w:t>中国法律”正式注册成立并有效存续，具有全部的权力和授权，以继续进行其正在进行之业务以及享有本合同和其作为一方的其他“交易文件”项下的权利，并履行本合同和其作为一方的其他“交易文件”项下的义务。</w:t>
      </w:r>
    </w:p>
    <w:p w14:paraId="77B9B411">
      <w:pPr>
        <w:tabs>
          <w:tab w:val="left" w:pos="2160"/>
        </w:tabs>
        <w:spacing w:line="380" w:lineRule="atLeast"/>
        <w:ind w:left="1080"/>
        <w:rPr>
          <w:rFonts w:eastAsia="楷体_GB2312"/>
          <w:color w:val="000000"/>
          <w:sz w:val="24"/>
        </w:rPr>
      </w:pPr>
    </w:p>
    <w:p w14:paraId="2A3DEE6E">
      <w:pPr>
        <w:numPr>
          <w:ilvl w:val="2"/>
          <w:numId w:val="4"/>
        </w:numPr>
        <w:tabs>
          <w:tab w:val="left" w:pos="900"/>
        </w:tabs>
        <w:spacing w:line="380" w:lineRule="atLeast"/>
        <w:ind w:left="1620" w:hanging="769"/>
        <w:rPr>
          <w:rFonts w:eastAsia="楷体_GB2312"/>
          <w:color w:val="000000"/>
          <w:sz w:val="24"/>
        </w:rPr>
      </w:pPr>
      <w:bookmarkStart w:id="193" w:name="_DV_M450"/>
      <w:bookmarkEnd w:id="193"/>
      <w:r>
        <w:rPr>
          <w:rFonts w:eastAsia="楷体_GB2312"/>
          <w:color w:val="000000"/>
          <w:sz w:val="24"/>
        </w:rPr>
        <w:t>本合同以及其作为一方的其他“交易文件”构成“受托人”合法的、有效的和有约束力的义务，并可按照前述协议的条款对其主张权利（除非该等权利的主张受到现时或未来有效并涉及影响债权人的权利和救济的破产、重整、和解或其他类似法律的限制）。</w:t>
      </w:r>
    </w:p>
    <w:p w14:paraId="24F0CE59">
      <w:pPr>
        <w:tabs>
          <w:tab w:val="left" w:pos="2160"/>
        </w:tabs>
        <w:spacing w:line="380" w:lineRule="atLeast"/>
        <w:ind w:left="1080"/>
        <w:rPr>
          <w:rFonts w:eastAsia="楷体_GB2312"/>
          <w:color w:val="000000"/>
          <w:sz w:val="24"/>
        </w:rPr>
      </w:pPr>
    </w:p>
    <w:p w14:paraId="452904BF">
      <w:pPr>
        <w:numPr>
          <w:ilvl w:val="2"/>
          <w:numId w:val="4"/>
        </w:numPr>
        <w:tabs>
          <w:tab w:val="left" w:pos="900"/>
        </w:tabs>
        <w:spacing w:line="380" w:lineRule="atLeast"/>
        <w:ind w:left="1620" w:hanging="769"/>
        <w:rPr>
          <w:rFonts w:eastAsia="楷体_GB2312"/>
          <w:color w:val="000000"/>
          <w:sz w:val="24"/>
        </w:rPr>
      </w:pPr>
      <w:bookmarkStart w:id="194" w:name="_DV_M451"/>
      <w:bookmarkEnd w:id="194"/>
      <w:r>
        <w:rPr>
          <w:rFonts w:eastAsia="楷体_GB2312"/>
          <w:color w:val="000000"/>
          <w:sz w:val="24"/>
        </w:rPr>
        <w:t>“受托人”已为签署和交付本合同以及其作为一方的其他“交易文件”并履行本合同和该等“交易文件”项下的义务取得了全部必要的同意、许可或批准，并已办理了全部必要的备案、登记和通知手续。</w:t>
      </w:r>
    </w:p>
    <w:p w14:paraId="51A7FA1D">
      <w:pPr>
        <w:tabs>
          <w:tab w:val="left" w:pos="2160"/>
        </w:tabs>
        <w:spacing w:line="380" w:lineRule="atLeast"/>
        <w:ind w:left="1080"/>
        <w:rPr>
          <w:rFonts w:eastAsia="楷体_GB2312"/>
          <w:color w:val="000000"/>
          <w:sz w:val="24"/>
        </w:rPr>
      </w:pPr>
    </w:p>
    <w:p w14:paraId="34330580">
      <w:pPr>
        <w:numPr>
          <w:ilvl w:val="2"/>
          <w:numId w:val="4"/>
        </w:numPr>
        <w:tabs>
          <w:tab w:val="left" w:pos="900"/>
        </w:tabs>
        <w:spacing w:line="380" w:lineRule="atLeast"/>
        <w:ind w:left="1620" w:hanging="769"/>
        <w:rPr>
          <w:rFonts w:eastAsia="楷体_GB2312"/>
          <w:color w:val="000000"/>
          <w:sz w:val="24"/>
        </w:rPr>
      </w:pPr>
      <w:bookmarkStart w:id="195" w:name="_DV_M452"/>
      <w:bookmarkEnd w:id="195"/>
      <w:r>
        <w:rPr>
          <w:rFonts w:eastAsia="楷体_GB2312"/>
          <w:color w:val="000000"/>
          <w:sz w:val="24"/>
        </w:rPr>
        <w:t>就“受托人”所知，本合同签署之日，“受托人”签署、交付和履行本合同以及其作为一方的其他“交易文件”，第一，不违反或抵触适用于“受托人”的任何“中国法律”的规定或其他“政府机构”的指令，而无论该等“政府机构”的指令是否具有法律强制力；第二，不违反“受托人”的组建文件；第三，不违反或导致“受托人”违反其作为一方或对其或其财产有约束力的任何协议或契据的</w:t>
      </w:r>
      <w:r>
        <w:rPr>
          <w:rFonts w:eastAsia="楷体_GB2312"/>
          <w:sz w:val="24"/>
        </w:rPr>
        <w:t>约</w:t>
      </w:r>
      <w:r>
        <w:rPr>
          <w:rFonts w:eastAsia="楷体_GB2312"/>
          <w:color w:val="000000"/>
          <w:sz w:val="24"/>
        </w:rPr>
        <w:t>定；第四，不会构成违约或因通知、时间的流逝即会在任何该等协议或契据项下构成违约的事件。</w:t>
      </w:r>
    </w:p>
    <w:p w14:paraId="2466C69C">
      <w:pPr>
        <w:tabs>
          <w:tab w:val="left" w:pos="2160"/>
        </w:tabs>
        <w:spacing w:line="380" w:lineRule="atLeast"/>
        <w:ind w:left="1080"/>
        <w:rPr>
          <w:rFonts w:eastAsia="楷体_GB2312"/>
          <w:color w:val="000000"/>
          <w:sz w:val="24"/>
        </w:rPr>
      </w:pPr>
    </w:p>
    <w:p w14:paraId="15DE109D">
      <w:pPr>
        <w:numPr>
          <w:ilvl w:val="2"/>
          <w:numId w:val="4"/>
        </w:numPr>
        <w:tabs>
          <w:tab w:val="left" w:pos="900"/>
        </w:tabs>
        <w:spacing w:line="380" w:lineRule="atLeast"/>
        <w:ind w:left="1620" w:hanging="769"/>
        <w:rPr>
          <w:rFonts w:eastAsia="楷体_GB2312"/>
          <w:color w:val="000000"/>
          <w:sz w:val="24"/>
        </w:rPr>
      </w:pPr>
      <w:bookmarkStart w:id="196" w:name="_DV_M453"/>
      <w:bookmarkEnd w:id="196"/>
      <w:r>
        <w:rPr>
          <w:rFonts w:eastAsia="楷体_GB2312"/>
          <w:color w:val="000000"/>
          <w:sz w:val="24"/>
        </w:rPr>
        <w:t>就“受托人”所知，本合同签署之日，没有任何未决的或拟将进行的任何“政府机构”的行为、程序或调查，质疑本合同、“受托人”作为一方的其他“交易文件”或根据本合同或其他任何“交易文件”已采取或将要采取的行动的有效性，或很可能导致“受托人”的业务、经营、事务、财务和其他状况、财产或资产发生任何“重大不利变化”。</w:t>
      </w:r>
    </w:p>
    <w:p w14:paraId="03300485">
      <w:pPr>
        <w:tabs>
          <w:tab w:val="left" w:pos="2160"/>
        </w:tabs>
        <w:spacing w:line="380" w:lineRule="atLeast"/>
        <w:ind w:left="1080"/>
        <w:rPr>
          <w:rFonts w:eastAsia="楷体_GB2312"/>
          <w:color w:val="000000"/>
          <w:sz w:val="24"/>
        </w:rPr>
      </w:pPr>
    </w:p>
    <w:p w14:paraId="642A1F9B">
      <w:pPr>
        <w:numPr>
          <w:ilvl w:val="2"/>
          <w:numId w:val="4"/>
        </w:numPr>
        <w:tabs>
          <w:tab w:val="left" w:pos="900"/>
        </w:tabs>
        <w:spacing w:line="380" w:lineRule="atLeast"/>
        <w:ind w:left="1620" w:hanging="769"/>
        <w:rPr>
          <w:rFonts w:eastAsia="楷体_GB2312"/>
          <w:color w:val="000000"/>
          <w:sz w:val="24"/>
        </w:rPr>
      </w:pPr>
      <w:bookmarkStart w:id="197" w:name="_DV_M454"/>
      <w:bookmarkEnd w:id="197"/>
      <w:r>
        <w:rPr>
          <w:rFonts w:eastAsia="楷体_GB2312"/>
          <w:color w:val="000000"/>
          <w:sz w:val="24"/>
        </w:rPr>
        <w:t>就“受托人”所知，本合同签署之日，未出现或持续存在任何事件，也不存在任何状况，且完成本合同以及“受托人”作为一方的其他“交易文件”项下的交易也不会导致任何事件或状况，构成违反或被合理预期构成或导致违反“受托人”作为一方或对其或其财产有约束力的任何协议或契据的任何条款，或构成“受托人辞任事件”、“受托人解任事件”。</w:t>
      </w:r>
    </w:p>
    <w:p w14:paraId="3F0B6D7B">
      <w:pPr>
        <w:tabs>
          <w:tab w:val="left" w:pos="2160"/>
        </w:tabs>
        <w:spacing w:line="380" w:lineRule="atLeast"/>
        <w:ind w:left="1080"/>
        <w:rPr>
          <w:rFonts w:eastAsia="楷体_GB2312"/>
          <w:color w:val="000000"/>
          <w:sz w:val="24"/>
        </w:rPr>
      </w:pPr>
    </w:p>
    <w:p w14:paraId="3473CEF1">
      <w:pPr>
        <w:numPr>
          <w:ilvl w:val="2"/>
          <w:numId w:val="4"/>
        </w:numPr>
        <w:tabs>
          <w:tab w:val="left" w:pos="900"/>
        </w:tabs>
        <w:spacing w:line="380" w:lineRule="atLeast"/>
        <w:ind w:left="1620" w:hanging="769"/>
        <w:rPr>
          <w:rFonts w:eastAsia="楷体_GB2312"/>
          <w:color w:val="000000"/>
          <w:sz w:val="24"/>
        </w:rPr>
      </w:pPr>
      <w:bookmarkStart w:id="198" w:name="_DV_M455"/>
      <w:bookmarkEnd w:id="198"/>
      <w:r>
        <w:rPr>
          <w:rFonts w:eastAsia="楷体_GB2312"/>
          <w:color w:val="000000"/>
          <w:sz w:val="24"/>
        </w:rPr>
        <w:t>“受托人”未曾采取任何行动，导致在“信托财产”和相关“账户记录”上设定任何担保。</w:t>
      </w:r>
    </w:p>
    <w:p w14:paraId="59D6C36C">
      <w:pPr>
        <w:tabs>
          <w:tab w:val="left" w:pos="2160"/>
        </w:tabs>
        <w:spacing w:line="380" w:lineRule="atLeast"/>
        <w:ind w:left="1080"/>
        <w:rPr>
          <w:rFonts w:eastAsia="楷体_GB2312"/>
          <w:color w:val="000000"/>
          <w:sz w:val="24"/>
        </w:rPr>
      </w:pPr>
    </w:p>
    <w:p w14:paraId="1F13F834">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“信托受益权”构成“受托人”作为本合同项下“受托人”的有效的、合法的、有约束力的支付义务（以“信托财产”为限），并可按照其条款和本合同的条款对其主张权利。</w:t>
      </w:r>
    </w:p>
    <w:p w14:paraId="5C25A0EE">
      <w:pPr>
        <w:spacing w:line="380" w:lineRule="atLeast"/>
        <w:rPr>
          <w:rFonts w:eastAsia="楷体_GB2312"/>
          <w:b/>
          <w:color w:val="0000FF"/>
          <w:sz w:val="24"/>
        </w:rPr>
      </w:pPr>
    </w:p>
    <w:p w14:paraId="2A9BB396">
      <w:pPr>
        <w:numPr>
          <w:ilvl w:val="0"/>
          <w:numId w:val="4"/>
        </w:numPr>
        <w:spacing w:line="380" w:lineRule="atLeast"/>
        <w:outlineLvl w:val="0"/>
        <w:rPr>
          <w:rFonts w:eastAsia="楷体_GB2312"/>
          <w:b/>
          <w:sz w:val="24"/>
        </w:rPr>
      </w:pPr>
      <w:bookmarkStart w:id="199" w:name="_Toc373951547"/>
      <w:bookmarkStart w:id="200" w:name="_Toc111281783"/>
      <w:bookmarkStart w:id="201" w:name="_Toc110153433"/>
      <w:bookmarkStart w:id="202" w:name="_Toc51277216"/>
      <w:bookmarkStart w:id="203" w:name="_Toc28480"/>
      <w:r>
        <w:rPr>
          <w:rFonts w:eastAsia="楷体_GB2312"/>
          <w:b/>
          <w:sz w:val="24"/>
        </w:rPr>
        <w:t>受</w:t>
      </w:r>
      <w:bookmarkStart w:id="204" w:name="_Toc92612919"/>
      <w:r>
        <w:rPr>
          <w:rFonts w:eastAsia="楷体_GB2312"/>
          <w:b/>
          <w:sz w:val="24"/>
        </w:rPr>
        <w:t>益人</w:t>
      </w:r>
      <w:bookmarkEnd w:id="199"/>
      <w:bookmarkEnd w:id="200"/>
      <w:bookmarkEnd w:id="201"/>
      <w:bookmarkEnd w:id="202"/>
      <w:bookmarkEnd w:id="203"/>
    </w:p>
    <w:bookmarkEnd w:id="204"/>
    <w:p w14:paraId="32455543">
      <w:pPr>
        <w:spacing w:line="360" w:lineRule="auto"/>
        <w:ind w:firstLine="420"/>
        <w:rPr>
          <w:rFonts w:eastAsia="楷体_GB2312"/>
          <w:b/>
          <w:bCs/>
          <w:i/>
          <w:iCs/>
          <w:color w:val="FF0000"/>
          <w:kern w:val="2"/>
          <w:sz w:val="24"/>
          <w:szCs w:val="24"/>
        </w:rPr>
      </w:pPr>
      <w:r>
        <w:rPr>
          <w:rFonts w:eastAsia="楷体_GB2312"/>
          <w:b/>
          <w:bCs/>
          <w:i/>
          <w:iCs/>
          <w:color w:val="FF0000"/>
          <w:kern w:val="2"/>
          <w:sz w:val="24"/>
          <w:szCs w:val="24"/>
        </w:rPr>
        <w:t>【注：受益人的权利、义务条款可根据项目具体情况进行补充或调整。】</w:t>
      </w:r>
    </w:p>
    <w:p w14:paraId="28E4C807">
      <w:pPr>
        <w:spacing w:line="360" w:lineRule="auto"/>
        <w:rPr>
          <w:rFonts w:eastAsia="楷体_GB2312"/>
          <w:b/>
          <w:bCs/>
          <w:i/>
          <w:iCs/>
          <w:color w:val="FF0000"/>
          <w:kern w:val="2"/>
          <w:sz w:val="24"/>
          <w:szCs w:val="24"/>
        </w:rPr>
      </w:pPr>
    </w:p>
    <w:p w14:paraId="6BDA8277">
      <w:pPr>
        <w:numPr>
          <w:ilvl w:val="1"/>
          <w:numId w:val="4"/>
        </w:numPr>
        <w:tabs>
          <w:tab w:val="left" w:pos="900"/>
        </w:tabs>
        <w:spacing w:line="380" w:lineRule="atLeast"/>
        <w:outlineLvl w:val="1"/>
        <w:rPr>
          <w:rFonts w:eastAsia="楷体_GB2312"/>
          <w:b/>
          <w:sz w:val="24"/>
        </w:rPr>
      </w:pPr>
      <w:bookmarkStart w:id="205" w:name="_Toc110153434"/>
      <w:bookmarkStart w:id="206" w:name="_Toc111281784"/>
      <w:r>
        <w:rPr>
          <w:rFonts w:eastAsia="楷体_GB2312"/>
          <w:b/>
          <w:sz w:val="24"/>
        </w:rPr>
        <w:t>受</w:t>
      </w:r>
      <w:bookmarkStart w:id="207" w:name="_Toc92612920"/>
      <w:r>
        <w:rPr>
          <w:rFonts w:eastAsia="楷体_GB2312"/>
          <w:b/>
          <w:sz w:val="24"/>
        </w:rPr>
        <w:t>益人的权利</w:t>
      </w:r>
      <w:bookmarkEnd w:id="205"/>
      <w:bookmarkEnd w:id="206"/>
    </w:p>
    <w:bookmarkEnd w:id="207"/>
    <w:p w14:paraId="38CC0BD6">
      <w:pPr>
        <w:spacing w:line="380" w:lineRule="atLeast"/>
        <w:rPr>
          <w:rFonts w:eastAsia="楷体_GB2312"/>
          <w:sz w:val="24"/>
        </w:rPr>
      </w:pPr>
    </w:p>
    <w:p w14:paraId="06EEED48">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受益人</w:t>
      </w:r>
      <w:r>
        <w:rPr>
          <w:rFonts w:eastAsia="楷体_GB2312"/>
          <w:sz w:val="24"/>
        </w:rPr>
        <w:t>”</w:t>
      </w:r>
      <w:r>
        <w:rPr>
          <w:rFonts w:eastAsia="楷体_GB2312"/>
          <w:color w:val="000000"/>
          <w:sz w:val="24"/>
        </w:rPr>
        <w:t>有权按本合同约定享有与其持有“资产支持证券”类别和数额对应的</w:t>
      </w:r>
      <w:r>
        <w:rPr>
          <w:rFonts w:eastAsia="楷体_GB2312"/>
          <w:sz w:val="24"/>
        </w:rPr>
        <w:t>“</w:t>
      </w:r>
      <w:r>
        <w:rPr>
          <w:rFonts w:eastAsia="楷体_GB2312"/>
          <w:color w:val="000000"/>
          <w:sz w:val="24"/>
        </w:rPr>
        <w:t>信托受益权</w:t>
      </w:r>
      <w:r>
        <w:rPr>
          <w:rFonts w:eastAsia="楷体_GB2312"/>
          <w:sz w:val="24"/>
        </w:rPr>
        <w:t>”</w:t>
      </w:r>
      <w:r>
        <w:rPr>
          <w:rFonts w:eastAsia="楷体_GB2312"/>
          <w:color w:val="000000"/>
          <w:sz w:val="24"/>
        </w:rPr>
        <w:t>，并参与相关</w:t>
      </w:r>
      <w:r>
        <w:rPr>
          <w:rFonts w:eastAsia="楷体_GB2312"/>
          <w:sz w:val="24"/>
        </w:rPr>
        <w:t>“</w:t>
      </w:r>
      <w:r>
        <w:rPr>
          <w:rFonts w:eastAsia="楷体_GB2312"/>
          <w:color w:val="000000"/>
          <w:sz w:val="24"/>
        </w:rPr>
        <w:t>信托利益</w:t>
      </w:r>
      <w:r>
        <w:rPr>
          <w:rFonts w:eastAsia="楷体_GB2312"/>
          <w:sz w:val="24"/>
        </w:rPr>
        <w:t>”</w:t>
      </w:r>
      <w:r>
        <w:rPr>
          <w:rFonts w:eastAsia="楷体_GB2312"/>
          <w:color w:val="000000"/>
          <w:sz w:val="24"/>
        </w:rPr>
        <w:t>的分配，有权按照本合同的约定参加</w:t>
      </w:r>
      <w:r>
        <w:rPr>
          <w:rFonts w:eastAsia="楷体_GB2312"/>
          <w:sz w:val="24"/>
        </w:rPr>
        <w:t>“</w:t>
      </w:r>
      <w:r>
        <w:rPr>
          <w:rFonts w:eastAsia="楷体_GB2312"/>
          <w:color w:val="000000"/>
          <w:sz w:val="24"/>
        </w:rPr>
        <w:t>资产支持证券持有人大会</w:t>
      </w:r>
      <w:r>
        <w:rPr>
          <w:rFonts w:eastAsia="楷体_GB2312"/>
          <w:sz w:val="24"/>
        </w:rPr>
        <w:t>”</w:t>
      </w:r>
      <w:r>
        <w:rPr>
          <w:rFonts w:eastAsia="楷体_GB2312"/>
          <w:color w:val="000000"/>
          <w:sz w:val="24"/>
        </w:rPr>
        <w:t>，行使相应的权利。</w:t>
      </w:r>
    </w:p>
    <w:p w14:paraId="1711A326">
      <w:pPr>
        <w:tabs>
          <w:tab w:val="left" w:pos="2160"/>
        </w:tabs>
        <w:spacing w:line="380" w:lineRule="atLeast"/>
        <w:rPr>
          <w:rFonts w:eastAsia="楷体_GB2312"/>
          <w:b/>
          <w:bCs/>
          <w:color w:val="008000"/>
          <w:sz w:val="24"/>
          <w:u w:val="single"/>
        </w:rPr>
      </w:pPr>
    </w:p>
    <w:p w14:paraId="1AACA0EE">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在</w:t>
      </w:r>
      <w:r>
        <w:rPr>
          <w:rFonts w:eastAsia="楷体_GB2312"/>
          <w:sz w:val="24"/>
        </w:rPr>
        <w:t>“</w:t>
      </w:r>
      <w:r>
        <w:rPr>
          <w:rFonts w:eastAsia="楷体_GB2312"/>
          <w:color w:val="000000"/>
          <w:sz w:val="24"/>
        </w:rPr>
        <w:t>信托期限</w:t>
      </w:r>
      <w:r>
        <w:rPr>
          <w:rFonts w:eastAsia="楷体_GB2312"/>
          <w:sz w:val="24"/>
        </w:rPr>
        <w:t>”</w:t>
      </w:r>
      <w:r>
        <w:rPr>
          <w:rFonts w:eastAsia="楷体_GB2312"/>
          <w:color w:val="000000"/>
          <w:sz w:val="24"/>
        </w:rPr>
        <w:t>内，</w:t>
      </w:r>
      <w:r>
        <w:rPr>
          <w:rFonts w:eastAsia="楷体_GB2312"/>
          <w:sz w:val="24"/>
        </w:rPr>
        <w:t>“受益人”</w:t>
      </w:r>
      <w:r>
        <w:rPr>
          <w:rFonts w:eastAsia="楷体_GB2312"/>
          <w:color w:val="000000"/>
          <w:sz w:val="24"/>
        </w:rPr>
        <w:t>可以根据本合同的约定及相关市场规则，依法转让其所持有的“资产支持证券</w:t>
      </w:r>
      <w:r>
        <w:rPr>
          <w:rFonts w:eastAsia="楷体_GB2312"/>
          <w:sz w:val="24"/>
        </w:rPr>
        <w:t>”</w:t>
      </w:r>
      <w:r>
        <w:rPr>
          <w:rFonts w:eastAsia="楷体_GB2312"/>
          <w:color w:val="000000"/>
          <w:sz w:val="24"/>
        </w:rPr>
        <w:t>。</w:t>
      </w:r>
    </w:p>
    <w:p w14:paraId="6BA67FCF">
      <w:pPr>
        <w:tabs>
          <w:tab w:val="left" w:pos="2160"/>
        </w:tabs>
        <w:spacing w:line="380" w:lineRule="atLeast"/>
        <w:rPr>
          <w:rFonts w:eastAsia="楷体_GB2312"/>
          <w:b/>
          <w:color w:val="0000FF"/>
          <w:sz w:val="24"/>
        </w:rPr>
      </w:pPr>
    </w:p>
    <w:p w14:paraId="6D820EA0">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受益人</w:t>
      </w:r>
      <w:r>
        <w:rPr>
          <w:rFonts w:eastAsia="楷体_GB2312"/>
          <w:sz w:val="24"/>
        </w:rPr>
        <w:t>”</w:t>
      </w:r>
      <w:r>
        <w:rPr>
          <w:rFonts w:eastAsia="楷体_GB2312"/>
          <w:color w:val="000000"/>
          <w:sz w:val="24"/>
        </w:rPr>
        <w:t>有权按照本合同约定向</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了解</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的管理、处分及收支情况。</w:t>
      </w:r>
    </w:p>
    <w:p w14:paraId="3177F5A7">
      <w:pPr>
        <w:tabs>
          <w:tab w:val="left" w:pos="2160"/>
        </w:tabs>
        <w:spacing w:line="380" w:lineRule="atLeast"/>
        <w:ind w:left="1080"/>
        <w:rPr>
          <w:rFonts w:eastAsia="楷体_GB2312"/>
          <w:sz w:val="24"/>
        </w:rPr>
      </w:pPr>
    </w:p>
    <w:p w14:paraId="6217E64D">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受益人</w:t>
      </w:r>
      <w:r>
        <w:rPr>
          <w:rFonts w:eastAsia="楷体_GB2312"/>
          <w:sz w:val="24"/>
        </w:rPr>
        <w:t>”</w:t>
      </w:r>
      <w:r>
        <w:rPr>
          <w:rFonts w:eastAsia="楷体_GB2312"/>
          <w:color w:val="000000"/>
          <w:sz w:val="24"/>
        </w:rPr>
        <w:t>有权依法查阅或者复制公开披露的</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和</w:t>
      </w:r>
      <w:r>
        <w:rPr>
          <w:rFonts w:eastAsia="楷体_GB2312"/>
          <w:sz w:val="24"/>
        </w:rPr>
        <w:t>“</w:t>
      </w:r>
      <w:r>
        <w:rPr>
          <w:rFonts w:eastAsia="楷体_GB2312"/>
          <w:color w:val="000000"/>
          <w:sz w:val="24"/>
        </w:rPr>
        <w:t>资产支持证券</w:t>
      </w:r>
      <w:r>
        <w:rPr>
          <w:rFonts w:eastAsia="楷体_GB2312"/>
          <w:sz w:val="24"/>
        </w:rPr>
        <w:t>”</w:t>
      </w:r>
      <w:r>
        <w:rPr>
          <w:rFonts w:eastAsia="楷体_GB2312"/>
          <w:color w:val="000000"/>
          <w:sz w:val="24"/>
        </w:rPr>
        <w:t>信息资料。</w:t>
      </w:r>
    </w:p>
    <w:p w14:paraId="49EB019F">
      <w:pPr>
        <w:tabs>
          <w:tab w:val="left" w:pos="2160"/>
        </w:tabs>
        <w:spacing w:line="380" w:lineRule="atLeast"/>
        <w:ind w:left="1080"/>
        <w:rPr>
          <w:rFonts w:eastAsia="楷体_GB2312"/>
          <w:color w:val="000000"/>
          <w:sz w:val="24"/>
        </w:rPr>
      </w:pPr>
    </w:p>
    <w:p w14:paraId="57AA0EF2">
      <w:pPr>
        <w:numPr>
          <w:ilvl w:val="2"/>
          <w:numId w:val="4"/>
        </w:numPr>
        <w:tabs>
          <w:tab w:val="left" w:pos="900"/>
        </w:tabs>
        <w:spacing w:line="380" w:lineRule="atLeast"/>
        <w:ind w:left="1620" w:hanging="769"/>
        <w:rPr>
          <w:rFonts w:eastAsia="楷体_GB2312"/>
          <w:sz w:val="24"/>
        </w:rPr>
      </w:pPr>
      <w:r>
        <w:rPr>
          <w:rFonts w:eastAsia="楷体_GB2312"/>
          <w:color w:val="000000"/>
          <w:sz w:val="24"/>
        </w:rPr>
        <w:t>在发生</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或各相关服务机构（包括“贷款服务机构”及“资金保管机构”）违反“信托”目的处分</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或者因违背管理职责、处理信托事务不当致使</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受到损失的情形下，</w:t>
      </w:r>
      <w:r>
        <w:rPr>
          <w:rFonts w:eastAsia="楷体_GB2312"/>
          <w:sz w:val="24"/>
        </w:rPr>
        <w:t>“</w:t>
      </w:r>
      <w:r>
        <w:rPr>
          <w:rFonts w:eastAsia="楷体_GB2312"/>
          <w:color w:val="000000"/>
          <w:sz w:val="24"/>
        </w:rPr>
        <w:t>受益人</w:t>
      </w:r>
      <w:r>
        <w:rPr>
          <w:rFonts w:eastAsia="楷体_GB2312"/>
          <w:sz w:val="24"/>
        </w:rPr>
        <w:t>”</w:t>
      </w:r>
      <w:r>
        <w:rPr>
          <w:rFonts w:eastAsia="楷体_GB2312"/>
          <w:color w:val="000000"/>
          <w:sz w:val="24"/>
        </w:rPr>
        <w:t>有权通过</w:t>
      </w:r>
      <w:r>
        <w:rPr>
          <w:rFonts w:eastAsia="楷体_GB2312"/>
          <w:sz w:val="24"/>
        </w:rPr>
        <w:t>“</w:t>
      </w:r>
      <w:r>
        <w:rPr>
          <w:rFonts w:eastAsia="楷体_GB2312"/>
          <w:color w:val="000000"/>
          <w:sz w:val="24"/>
        </w:rPr>
        <w:t>资产支持证券持有人大会</w:t>
      </w:r>
      <w:r>
        <w:rPr>
          <w:rFonts w:eastAsia="楷体_GB2312"/>
          <w:sz w:val="24"/>
        </w:rPr>
        <w:t>”</w:t>
      </w:r>
      <w:r>
        <w:rPr>
          <w:rFonts w:eastAsia="楷体_GB2312"/>
          <w:color w:val="000000"/>
          <w:sz w:val="24"/>
        </w:rPr>
        <w:t>申请人民法院撤销该处分行为，并有权要求“受托人”、各相关服务机构（包括</w:t>
      </w:r>
      <w:r>
        <w:rPr>
          <w:rFonts w:eastAsia="楷体_GB2312"/>
          <w:sz w:val="24"/>
        </w:rPr>
        <w:t>“</w:t>
      </w:r>
      <w:r>
        <w:rPr>
          <w:rFonts w:eastAsia="楷体_GB2312"/>
          <w:color w:val="000000"/>
          <w:sz w:val="24"/>
        </w:rPr>
        <w:t>贷款服务机构</w:t>
      </w:r>
      <w:r>
        <w:rPr>
          <w:rFonts w:eastAsia="楷体_GB2312"/>
          <w:sz w:val="24"/>
        </w:rPr>
        <w:t>”</w:t>
      </w:r>
      <w:r>
        <w:rPr>
          <w:rFonts w:eastAsia="楷体_GB2312"/>
          <w:color w:val="000000"/>
          <w:sz w:val="24"/>
        </w:rPr>
        <w:t>及</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）恢复</w:t>
      </w:r>
      <w:r>
        <w:rPr>
          <w:rFonts w:eastAsia="楷体_GB2312"/>
          <w:sz w:val="24"/>
        </w:rPr>
        <w:t>“</w:t>
      </w:r>
      <w:r>
        <w:rPr>
          <w:rFonts w:eastAsia="楷体_GB2312"/>
          <w:color w:val="000000"/>
          <w:sz w:val="24"/>
        </w:rPr>
        <w:t>信托财产</w:t>
      </w:r>
      <w:r>
        <w:rPr>
          <w:rFonts w:eastAsia="楷体_GB2312"/>
          <w:sz w:val="24"/>
        </w:rPr>
        <w:t>”</w:t>
      </w:r>
      <w:r>
        <w:rPr>
          <w:rFonts w:eastAsia="楷体_GB2312"/>
          <w:color w:val="000000"/>
          <w:sz w:val="24"/>
        </w:rPr>
        <w:t>的原状或者予以合理赔偿。</w:t>
      </w:r>
      <w:r>
        <w:rPr>
          <w:rFonts w:eastAsia="楷体_GB2312"/>
          <w:sz w:val="24"/>
        </w:rPr>
        <w:t>“</w:t>
      </w:r>
      <w:r>
        <w:rPr>
          <w:rFonts w:eastAsia="楷体_GB2312"/>
          <w:color w:val="000000"/>
          <w:sz w:val="24"/>
        </w:rPr>
        <w:t>受益人</w:t>
      </w:r>
      <w:r>
        <w:rPr>
          <w:rFonts w:eastAsia="楷体_GB2312"/>
          <w:sz w:val="24"/>
        </w:rPr>
        <w:t>”</w:t>
      </w:r>
      <w:r>
        <w:rPr>
          <w:rFonts w:eastAsia="楷体_GB2312"/>
          <w:color w:val="000000"/>
          <w:sz w:val="24"/>
        </w:rPr>
        <w:t>的撤销权自</w:t>
      </w:r>
      <w:r>
        <w:rPr>
          <w:rFonts w:eastAsia="楷体_GB2312"/>
          <w:sz w:val="24"/>
        </w:rPr>
        <w:t>“</w:t>
      </w:r>
      <w:r>
        <w:rPr>
          <w:rFonts w:eastAsia="楷体_GB2312"/>
          <w:color w:val="000000"/>
          <w:sz w:val="24"/>
        </w:rPr>
        <w:t>受益人</w:t>
      </w:r>
      <w:r>
        <w:rPr>
          <w:rFonts w:eastAsia="楷体_GB2312"/>
          <w:sz w:val="24"/>
        </w:rPr>
        <w:t>”知道或者应当知道撤销原因之日起一年内不行使的，归于消灭。</w:t>
      </w:r>
    </w:p>
    <w:p w14:paraId="320C401E">
      <w:pPr>
        <w:tabs>
          <w:tab w:val="left" w:pos="1571"/>
        </w:tabs>
        <w:spacing w:line="380" w:lineRule="atLeast"/>
        <w:ind w:left="1620" w:hanging="769"/>
        <w:rPr>
          <w:rFonts w:eastAsia="楷体_GB2312"/>
          <w:sz w:val="24"/>
        </w:rPr>
      </w:pPr>
    </w:p>
    <w:p w14:paraId="1B048F73">
      <w:pPr>
        <w:numPr>
          <w:ilvl w:val="2"/>
          <w:numId w:val="4"/>
        </w:numPr>
        <w:tabs>
          <w:tab w:val="left" w:pos="900"/>
        </w:tabs>
        <w:spacing w:line="380" w:lineRule="atLeast"/>
        <w:ind w:left="1620" w:hanging="769"/>
        <w:rPr>
          <w:rFonts w:eastAsia="楷体_GB2312"/>
          <w:sz w:val="24"/>
        </w:rPr>
      </w:pPr>
      <w:r>
        <w:rPr>
          <w:rFonts w:eastAsia="楷体_GB2312"/>
          <w:sz w:val="24"/>
        </w:rPr>
        <w:t>在发生“受托人”或</w:t>
      </w:r>
      <w:r>
        <w:rPr>
          <w:rFonts w:eastAsia="楷体_GB2312"/>
          <w:color w:val="000000"/>
          <w:sz w:val="24"/>
        </w:rPr>
        <w:t>各相关服务机构（包括</w:t>
      </w:r>
      <w:r>
        <w:rPr>
          <w:rFonts w:eastAsia="楷体_GB2312"/>
          <w:sz w:val="24"/>
        </w:rPr>
        <w:t>“</w:t>
      </w:r>
      <w:r>
        <w:rPr>
          <w:rFonts w:eastAsia="楷体_GB2312"/>
          <w:color w:val="000000"/>
          <w:sz w:val="24"/>
        </w:rPr>
        <w:t>贷款服务机构</w:t>
      </w:r>
      <w:r>
        <w:rPr>
          <w:rFonts w:eastAsia="楷体_GB2312"/>
          <w:sz w:val="24"/>
        </w:rPr>
        <w:t>”</w:t>
      </w:r>
      <w:r>
        <w:rPr>
          <w:rFonts w:eastAsia="楷体_GB2312"/>
          <w:color w:val="000000"/>
          <w:sz w:val="24"/>
        </w:rPr>
        <w:t>及</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w:t>
      </w:r>
      <w:r>
        <w:rPr>
          <w:rFonts w:eastAsia="楷体_GB2312"/>
          <w:sz w:val="24"/>
        </w:rPr>
        <w:t>违反“信托”目的处分“信托财产”或者管理、处分“信托财产”有重大过失的情形下，“受益人”有权通过“资产支持证券持有人大会”，按照本合同的约定解任“受托人”、</w:t>
      </w:r>
      <w:r>
        <w:rPr>
          <w:rFonts w:eastAsia="楷体_GB2312"/>
          <w:color w:val="000000"/>
          <w:sz w:val="24"/>
        </w:rPr>
        <w:t>各相关服务机构（包括</w:t>
      </w:r>
      <w:r>
        <w:rPr>
          <w:rFonts w:eastAsia="楷体_GB2312"/>
          <w:sz w:val="24"/>
        </w:rPr>
        <w:t>“</w:t>
      </w:r>
      <w:r>
        <w:rPr>
          <w:rFonts w:eastAsia="楷体_GB2312"/>
          <w:color w:val="000000"/>
          <w:sz w:val="24"/>
        </w:rPr>
        <w:t>贷款服务机构</w:t>
      </w:r>
      <w:r>
        <w:rPr>
          <w:rFonts w:eastAsia="楷体_GB2312"/>
          <w:sz w:val="24"/>
        </w:rPr>
        <w:t>”</w:t>
      </w:r>
      <w:r>
        <w:rPr>
          <w:rFonts w:eastAsia="楷体_GB2312"/>
          <w:color w:val="000000"/>
          <w:sz w:val="24"/>
        </w:rPr>
        <w:t>及</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w:t>
      </w:r>
      <w:r>
        <w:rPr>
          <w:rFonts w:eastAsia="楷体_GB2312"/>
          <w:sz w:val="24"/>
        </w:rPr>
        <w:t>。</w:t>
      </w:r>
    </w:p>
    <w:p w14:paraId="18FFEC5F">
      <w:pPr>
        <w:tabs>
          <w:tab w:val="left" w:pos="2160"/>
        </w:tabs>
        <w:spacing w:line="380" w:lineRule="atLeast"/>
        <w:ind w:left="1080"/>
        <w:rPr>
          <w:rFonts w:eastAsia="楷体_GB2312"/>
          <w:sz w:val="24"/>
        </w:rPr>
      </w:pPr>
    </w:p>
    <w:p w14:paraId="2D1BB7D4">
      <w:pPr>
        <w:numPr>
          <w:ilvl w:val="2"/>
          <w:numId w:val="4"/>
        </w:numPr>
        <w:tabs>
          <w:tab w:val="left" w:pos="900"/>
        </w:tabs>
        <w:spacing w:line="380" w:lineRule="atLeast"/>
        <w:ind w:left="1620" w:hanging="769"/>
        <w:rPr>
          <w:rFonts w:eastAsia="楷体_GB2312"/>
          <w:sz w:val="24"/>
        </w:rPr>
      </w:pPr>
      <w:r>
        <w:rPr>
          <w:rFonts w:eastAsia="楷体_GB2312"/>
          <w:sz w:val="24"/>
        </w:rPr>
        <w:t>“受益人”有权按照本合同约定提议召开或者自行召开“资产支持证券持有人大会”。</w:t>
      </w:r>
    </w:p>
    <w:p w14:paraId="1B680627">
      <w:pPr>
        <w:tabs>
          <w:tab w:val="left" w:pos="2160"/>
        </w:tabs>
        <w:spacing w:line="380" w:lineRule="atLeast"/>
        <w:ind w:left="1080"/>
        <w:rPr>
          <w:rFonts w:eastAsia="楷体_GB2312"/>
          <w:sz w:val="24"/>
        </w:rPr>
      </w:pPr>
    </w:p>
    <w:p w14:paraId="00C0BA3F">
      <w:pPr>
        <w:numPr>
          <w:ilvl w:val="2"/>
          <w:numId w:val="4"/>
        </w:numPr>
        <w:tabs>
          <w:tab w:val="left" w:pos="900"/>
        </w:tabs>
        <w:spacing w:line="380" w:lineRule="atLeast"/>
        <w:ind w:left="1620" w:hanging="769"/>
        <w:rPr>
          <w:rFonts w:eastAsia="楷体_GB2312"/>
          <w:sz w:val="24"/>
        </w:rPr>
      </w:pPr>
      <w:r>
        <w:rPr>
          <w:rFonts w:eastAsia="楷体_GB2312"/>
          <w:sz w:val="24"/>
        </w:rPr>
        <w:t>“受益人”有权享有“中国法律”</w:t>
      </w:r>
      <w:r>
        <w:rPr>
          <w:rFonts w:eastAsia="楷体_GB2312"/>
          <w:color w:val="000000"/>
          <w:sz w:val="24"/>
        </w:rPr>
        <w:t>规定的</w:t>
      </w:r>
      <w:r>
        <w:rPr>
          <w:rFonts w:eastAsia="楷体_GB2312"/>
          <w:sz w:val="24"/>
        </w:rPr>
        <w:t>和本合同约定的与本“信托”相关的其他权利。</w:t>
      </w:r>
    </w:p>
    <w:p w14:paraId="7CB5BF93">
      <w:pPr>
        <w:spacing w:line="380" w:lineRule="atLeast"/>
        <w:ind w:firstLine="480"/>
        <w:rPr>
          <w:rFonts w:eastAsia="楷体_GB2312"/>
          <w:color w:val="000000"/>
          <w:sz w:val="24"/>
        </w:rPr>
      </w:pPr>
    </w:p>
    <w:p w14:paraId="63836F8D">
      <w:pPr>
        <w:numPr>
          <w:ilvl w:val="1"/>
          <w:numId w:val="4"/>
        </w:numPr>
        <w:tabs>
          <w:tab w:val="left" w:pos="900"/>
        </w:tabs>
        <w:spacing w:line="380" w:lineRule="atLeast"/>
        <w:outlineLvl w:val="1"/>
        <w:rPr>
          <w:rFonts w:eastAsia="楷体_GB2312"/>
          <w:b/>
          <w:sz w:val="24"/>
        </w:rPr>
      </w:pPr>
      <w:bookmarkStart w:id="208" w:name="_Toc111281785"/>
      <w:bookmarkStart w:id="209" w:name="_Toc110153435"/>
      <w:r>
        <w:rPr>
          <w:rFonts w:eastAsia="楷体_GB2312"/>
          <w:b/>
          <w:sz w:val="24"/>
        </w:rPr>
        <w:t>受</w:t>
      </w:r>
      <w:bookmarkStart w:id="210" w:name="_Toc92612921"/>
      <w:r>
        <w:rPr>
          <w:rFonts w:eastAsia="楷体_GB2312"/>
          <w:b/>
          <w:sz w:val="24"/>
        </w:rPr>
        <w:t>益人的义务</w:t>
      </w:r>
      <w:bookmarkEnd w:id="208"/>
      <w:bookmarkEnd w:id="209"/>
    </w:p>
    <w:bookmarkEnd w:id="210"/>
    <w:p w14:paraId="445B510F">
      <w:pPr>
        <w:spacing w:line="380" w:lineRule="atLeast"/>
        <w:rPr>
          <w:rFonts w:eastAsia="楷体_GB2312"/>
          <w:b/>
          <w:sz w:val="24"/>
        </w:rPr>
      </w:pPr>
    </w:p>
    <w:p w14:paraId="7E41884F">
      <w:pPr>
        <w:numPr>
          <w:ilvl w:val="2"/>
          <w:numId w:val="4"/>
        </w:numPr>
        <w:tabs>
          <w:tab w:val="left" w:pos="900"/>
        </w:tabs>
        <w:spacing w:line="380" w:lineRule="atLeast"/>
        <w:ind w:left="1620" w:hanging="769"/>
        <w:rPr>
          <w:rFonts w:eastAsia="楷体_GB2312"/>
          <w:sz w:val="24"/>
        </w:rPr>
      </w:pPr>
      <w:r>
        <w:rPr>
          <w:rFonts w:eastAsia="楷体_GB2312"/>
          <w:sz w:val="24"/>
        </w:rPr>
        <w:t>“受益人”应按照本合同的约定合理善意行使“受益人”的权利，不得损害其他方或其他类别“受益人”的合法权利和利益。</w:t>
      </w:r>
    </w:p>
    <w:p w14:paraId="33173310">
      <w:pPr>
        <w:tabs>
          <w:tab w:val="left" w:pos="2160"/>
        </w:tabs>
        <w:spacing w:line="380" w:lineRule="atLeast"/>
        <w:ind w:left="1080"/>
        <w:rPr>
          <w:rFonts w:eastAsia="楷体_GB2312"/>
          <w:sz w:val="24"/>
        </w:rPr>
      </w:pPr>
    </w:p>
    <w:p w14:paraId="1C0ECA1A">
      <w:pPr>
        <w:numPr>
          <w:ilvl w:val="2"/>
          <w:numId w:val="4"/>
        </w:numPr>
        <w:tabs>
          <w:tab w:val="left" w:pos="900"/>
        </w:tabs>
        <w:spacing w:line="380" w:lineRule="atLeast"/>
        <w:ind w:left="1620" w:hanging="769"/>
        <w:rPr>
          <w:rFonts w:eastAsia="楷体_GB2312"/>
          <w:sz w:val="24"/>
        </w:rPr>
      </w:pPr>
      <w:r>
        <w:rPr>
          <w:rFonts w:eastAsia="楷体_GB2312"/>
          <w:sz w:val="24"/>
        </w:rPr>
        <w:t>“受益人”对依本合同约定获得的有关“信托”的所有非公开的信息负有保密义务。</w:t>
      </w:r>
    </w:p>
    <w:p w14:paraId="7E6C0063">
      <w:pPr>
        <w:tabs>
          <w:tab w:val="left" w:pos="2160"/>
        </w:tabs>
        <w:spacing w:line="380" w:lineRule="atLeast"/>
        <w:ind w:left="1080"/>
        <w:rPr>
          <w:rFonts w:eastAsia="楷体_GB2312"/>
          <w:sz w:val="24"/>
        </w:rPr>
      </w:pPr>
    </w:p>
    <w:p w14:paraId="1057D7F8">
      <w:pPr>
        <w:numPr>
          <w:ilvl w:val="2"/>
          <w:numId w:val="4"/>
        </w:numPr>
        <w:tabs>
          <w:tab w:val="left" w:pos="900"/>
        </w:tabs>
        <w:spacing w:line="380" w:lineRule="atLeast"/>
        <w:ind w:left="1620" w:hanging="769"/>
        <w:rPr>
          <w:rFonts w:eastAsia="楷体_GB2312"/>
          <w:sz w:val="24"/>
        </w:rPr>
      </w:pPr>
      <w:r>
        <w:rPr>
          <w:rFonts w:eastAsia="楷体_GB2312"/>
          <w:sz w:val="24"/>
        </w:rPr>
        <w:t>“受益人”负有“中国法律”规定的和本合同约定的其他与本“信托”相关的义务。</w:t>
      </w:r>
    </w:p>
    <w:p w14:paraId="1504FE44">
      <w:pPr>
        <w:tabs>
          <w:tab w:val="left" w:pos="1571"/>
        </w:tabs>
        <w:spacing w:line="380" w:lineRule="atLeast"/>
        <w:rPr>
          <w:rFonts w:eastAsia="楷体_GB2312"/>
          <w:sz w:val="24"/>
        </w:rPr>
      </w:pPr>
    </w:p>
    <w:p w14:paraId="7B9B40E1">
      <w:pPr>
        <w:numPr>
          <w:ilvl w:val="1"/>
          <w:numId w:val="4"/>
        </w:numPr>
        <w:tabs>
          <w:tab w:val="left" w:pos="900"/>
        </w:tabs>
        <w:spacing w:line="380" w:lineRule="atLeast"/>
        <w:outlineLvl w:val="1"/>
        <w:rPr>
          <w:rFonts w:eastAsia="楷体_GB2312"/>
          <w:b/>
          <w:sz w:val="24"/>
        </w:rPr>
      </w:pPr>
      <w:r>
        <w:rPr>
          <w:rFonts w:eastAsia="楷体_GB2312"/>
          <w:b/>
          <w:sz w:val="24"/>
        </w:rPr>
        <w:t>受益人取得信托利益的形式和方法</w:t>
      </w:r>
    </w:p>
    <w:p w14:paraId="0E14F133">
      <w:pPr>
        <w:spacing w:line="380" w:lineRule="atLeast"/>
        <w:rPr>
          <w:rFonts w:eastAsia="楷体_GB2312"/>
          <w:b/>
          <w:sz w:val="24"/>
        </w:rPr>
      </w:pPr>
    </w:p>
    <w:p w14:paraId="5475F5F0">
      <w:pPr>
        <w:spacing w:line="380" w:lineRule="atLeast"/>
        <w:ind w:left="912" w:leftChars="456"/>
        <w:rPr>
          <w:rFonts w:eastAsia="楷体_GB2312"/>
          <w:sz w:val="24"/>
        </w:rPr>
      </w:pPr>
      <w:r>
        <w:rPr>
          <w:rFonts w:eastAsia="楷体_GB2312"/>
          <w:sz w:val="24"/>
        </w:rPr>
        <w:t>在每个“支付日”，根据资产支持证券持有人名单确定的享有当期收益的“资产支持证券持有人”为当期有权获得“信托利益”分配的“受益人”，该等“受益人”有权于该“支付日”根据本合同约定的方法和顺序获得其持有的“资产支持证券”当期可获得分配的“信托利益”。</w:t>
      </w:r>
    </w:p>
    <w:p w14:paraId="4C68CBCF">
      <w:pPr>
        <w:spacing w:line="380" w:lineRule="atLeast"/>
        <w:ind w:left="912" w:leftChars="456"/>
        <w:rPr>
          <w:rFonts w:eastAsia="楷体_GB2312"/>
          <w:sz w:val="24"/>
        </w:rPr>
      </w:pPr>
    </w:p>
    <w:p w14:paraId="6B5F92F2">
      <w:pPr>
        <w:numPr>
          <w:ilvl w:val="1"/>
          <w:numId w:val="4"/>
        </w:numPr>
        <w:tabs>
          <w:tab w:val="left" w:pos="900"/>
        </w:tabs>
        <w:spacing w:line="380" w:lineRule="atLeast"/>
        <w:outlineLvl w:val="1"/>
        <w:rPr>
          <w:rFonts w:eastAsia="楷体_GB2312"/>
          <w:b/>
          <w:sz w:val="24"/>
        </w:rPr>
      </w:pPr>
      <w:r>
        <w:rPr>
          <w:rFonts w:eastAsia="楷体_GB2312"/>
          <w:b/>
          <w:sz w:val="24"/>
        </w:rPr>
        <w:t>受益人范围和确定方法</w:t>
      </w:r>
    </w:p>
    <w:p w14:paraId="4C954A72">
      <w:pPr>
        <w:spacing w:line="380" w:lineRule="atLeast"/>
        <w:ind w:left="912" w:leftChars="456"/>
        <w:rPr>
          <w:rFonts w:eastAsia="楷体_GB2312"/>
          <w:sz w:val="24"/>
        </w:rPr>
      </w:pPr>
    </w:p>
    <w:p w14:paraId="1655CD0F">
      <w:pPr>
        <w:spacing w:line="380" w:lineRule="atLeast"/>
        <w:ind w:left="912" w:leftChars="456"/>
        <w:rPr>
          <w:rFonts w:eastAsia="楷体_GB2312"/>
          <w:sz w:val="24"/>
        </w:rPr>
      </w:pPr>
      <w:r>
        <w:rPr>
          <w:rFonts w:eastAsia="楷体_GB2312"/>
          <w:sz w:val="24"/>
        </w:rPr>
        <w:t>“受益人”即为“资产支持证券持有人”，“受益人”的范围根据本合同第</w:t>
      </w:r>
      <w:r>
        <w:rPr>
          <w:rFonts w:eastAsia="楷体_GB2312"/>
        </w:rPr>
        <w:fldChar w:fldCharType="begin"/>
      </w:r>
      <w:r>
        <w:rPr>
          <w:rFonts w:eastAsia="楷体_GB2312"/>
        </w:rPr>
        <w:instrText xml:space="preserve"> REF _Ref482096372 \r \h  \* MERGEFORMAT </w:instrText>
      </w:r>
      <w:r>
        <w:rPr>
          <w:rFonts w:eastAsia="楷体_GB2312"/>
        </w:rPr>
        <w:fldChar w:fldCharType="separate"/>
      </w:r>
      <w:r>
        <w:rPr>
          <w:rFonts w:eastAsia="楷体_GB2312"/>
          <w:sz w:val="24"/>
        </w:rPr>
        <w:t>7.8.1</w:t>
      </w:r>
      <w:r>
        <w:rPr>
          <w:rFonts w:eastAsia="楷体_GB2312"/>
        </w:rPr>
        <w:fldChar w:fldCharType="end"/>
      </w:r>
      <w:r>
        <w:rPr>
          <w:rFonts w:eastAsia="楷体_GB2312"/>
          <w:sz w:val="24"/>
        </w:rPr>
        <w:t>款的约定进行确定。</w:t>
      </w:r>
    </w:p>
    <w:p w14:paraId="74A88386">
      <w:pPr>
        <w:tabs>
          <w:tab w:val="left" w:pos="2160"/>
        </w:tabs>
        <w:spacing w:line="380" w:lineRule="atLeast"/>
        <w:rPr>
          <w:rFonts w:eastAsia="楷体_GB2312"/>
          <w:sz w:val="24"/>
        </w:rPr>
      </w:pPr>
    </w:p>
    <w:p w14:paraId="7FCAAC07">
      <w:pPr>
        <w:numPr>
          <w:ilvl w:val="0"/>
          <w:numId w:val="4"/>
        </w:numPr>
        <w:spacing w:line="380" w:lineRule="atLeast"/>
        <w:outlineLvl w:val="0"/>
        <w:rPr>
          <w:rFonts w:eastAsia="楷体_GB2312"/>
          <w:b/>
          <w:sz w:val="24"/>
        </w:rPr>
      </w:pPr>
      <w:bookmarkStart w:id="211" w:name="_Toc111281786"/>
      <w:bookmarkStart w:id="212" w:name="_Toc110153436"/>
      <w:bookmarkStart w:id="213" w:name="_Toc373951548"/>
      <w:bookmarkStart w:id="214" w:name="_Toc51277217"/>
      <w:bookmarkStart w:id="215" w:name="_Toc28101"/>
      <w:r>
        <w:rPr>
          <w:rFonts w:eastAsia="楷体_GB2312"/>
          <w:b/>
          <w:sz w:val="24"/>
        </w:rPr>
        <w:t>信</w:t>
      </w:r>
      <w:bookmarkStart w:id="216" w:name="_Toc92612923"/>
      <w:r>
        <w:rPr>
          <w:rFonts w:eastAsia="楷体_GB2312"/>
          <w:b/>
          <w:sz w:val="24"/>
        </w:rPr>
        <w:t>托受益权</w:t>
      </w:r>
      <w:bookmarkEnd w:id="211"/>
      <w:bookmarkEnd w:id="212"/>
      <w:r>
        <w:rPr>
          <w:rFonts w:eastAsia="楷体_GB2312"/>
          <w:b/>
          <w:sz w:val="24"/>
        </w:rPr>
        <w:t>和资产支持证券</w:t>
      </w:r>
      <w:bookmarkEnd w:id="213"/>
      <w:bookmarkEnd w:id="214"/>
      <w:bookmarkEnd w:id="215"/>
    </w:p>
    <w:bookmarkEnd w:id="216"/>
    <w:p w14:paraId="1D368E98">
      <w:pPr>
        <w:spacing w:line="380" w:lineRule="atLeast"/>
        <w:rPr>
          <w:rFonts w:eastAsia="楷体_GB2312"/>
          <w:b/>
          <w:sz w:val="24"/>
        </w:rPr>
      </w:pPr>
    </w:p>
    <w:p w14:paraId="51090F0C">
      <w:pPr>
        <w:numPr>
          <w:ilvl w:val="1"/>
          <w:numId w:val="4"/>
        </w:numPr>
        <w:tabs>
          <w:tab w:val="left" w:pos="900"/>
        </w:tabs>
        <w:spacing w:line="380" w:lineRule="atLeast"/>
        <w:outlineLvl w:val="1"/>
        <w:rPr>
          <w:rFonts w:eastAsia="楷体_GB2312"/>
          <w:b/>
          <w:sz w:val="24"/>
        </w:rPr>
      </w:pPr>
      <w:bookmarkStart w:id="217" w:name="_Toc111281787"/>
      <w:r>
        <w:rPr>
          <w:rFonts w:eastAsia="楷体_GB2312"/>
          <w:b/>
          <w:sz w:val="24"/>
        </w:rPr>
        <w:t>信托受益权的类别</w:t>
      </w:r>
      <w:bookmarkEnd w:id="217"/>
    </w:p>
    <w:p w14:paraId="6393112E">
      <w:pPr>
        <w:spacing w:line="380" w:lineRule="atLeast"/>
        <w:rPr>
          <w:rFonts w:eastAsia="楷体_GB2312"/>
          <w:b/>
          <w:bCs/>
          <w:sz w:val="24"/>
        </w:rPr>
      </w:pPr>
    </w:p>
    <w:p w14:paraId="1C06F90A">
      <w:pPr>
        <w:tabs>
          <w:tab w:val="left" w:pos="2160"/>
        </w:tabs>
        <w:spacing w:line="380" w:lineRule="atLeast"/>
        <w:ind w:left="900"/>
        <w:rPr>
          <w:rFonts w:eastAsia="楷体_GB2312"/>
          <w:w w:val="0"/>
          <w:sz w:val="24"/>
        </w:rPr>
      </w:pPr>
      <w:bookmarkStart w:id="218" w:name="_DV_C377"/>
      <w:r>
        <w:rPr>
          <w:rStyle w:val="63"/>
          <w:rFonts w:eastAsia="楷体_GB2312"/>
          <w:color w:val="auto"/>
          <w:w w:val="0"/>
          <w:sz w:val="24"/>
          <w:u w:val="none"/>
        </w:rPr>
        <w:t>本合同项下“信托受益权”分为“优先级信托受益权”和“次级信托受益权”。</w:t>
      </w:r>
      <w:bookmarkEnd w:id="218"/>
    </w:p>
    <w:p w14:paraId="528CBA9D">
      <w:pPr>
        <w:tabs>
          <w:tab w:val="left" w:pos="2160"/>
        </w:tabs>
        <w:spacing w:line="380" w:lineRule="atLeast"/>
        <w:ind w:left="1080"/>
        <w:rPr>
          <w:rFonts w:eastAsia="楷体_GB2312"/>
          <w:sz w:val="24"/>
        </w:rPr>
      </w:pPr>
    </w:p>
    <w:p w14:paraId="7BE00BE6">
      <w:pPr>
        <w:numPr>
          <w:ilvl w:val="1"/>
          <w:numId w:val="4"/>
        </w:numPr>
        <w:tabs>
          <w:tab w:val="left" w:pos="900"/>
        </w:tabs>
        <w:spacing w:line="380" w:lineRule="atLeast"/>
        <w:outlineLvl w:val="1"/>
        <w:rPr>
          <w:rFonts w:eastAsia="楷体_GB2312"/>
          <w:b/>
          <w:sz w:val="24"/>
        </w:rPr>
      </w:pPr>
      <w:bookmarkStart w:id="219" w:name="_Toc111281788"/>
      <w:r>
        <w:rPr>
          <w:rFonts w:eastAsia="楷体_GB2312"/>
          <w:b/>
          <w:sz w:val="24"/>
        </w:rPr>
        <w:t>资产支持证券的类别</w:t>
      </w:r>
      <w:bookmarkEnd w:id="219"/>
    </w:p>
    <w:p w14:paraId="5D3561DA">
      <w:pPr>
        <w:pStyle w:val="78"/>
        <w:tabs>
          <w:tab w:val="left" w:pos="2160"/>
        </w:tabs>
        <w:spacing w:line="360" w:lineRule="auto"/>
        <w:ind w:left="840" w:firstLine="0" w:firstLineChars="0"/>
        <w:rPr>
          <w:rFonts w:eastAsia="楷体_GB2312"/>
          <w:b/>
          <w:i/>
          <w:iCs/>
          <w:color w:val="FF0000"/>
          <w:sz w:val="24"/>
        </w:rPr>
      </w:pPr>
      <w:r>
        <w:rPr>
          <w:rFonts w:eastAsia="楷体_GB2312"/>
          <w:b/>
          <w:i/>
          <w:iCs/>
          <w:color w:val="FF0000"/>
          <w:sz w:val="24"/>
        </w:rPr>
        <w:t>【注：资产支持证券的类别、各级别基本特征条款可根据具体项目的需要进一步细分或调整。】</w:t>
      </w:r>
    </w:p>
    <w:p w14:paraId="63F7C63A">
      <w:pPr>
        <w:tabs>
          <w:tab w:val="left" w:pos="1800"/>
        </w:tabs>
        <w:spacing w:line="380" w:lineRule="atLeast"/>
        <w:jc w:val="left"/>
        <w:rPr>
          <w:rFonts w:eastAsia="楷体_GB2312"/>
          <w:sz w:val="24"/>
        </w:rPr>
      </w:pPr>
    </w:p>
    <w:p w14:paraId="337C9DB3">
      <w:pPr>
        <w:numPr>
          <w:ilvl w:val="2"/>
          <w:numId w:val="4"/>
        </w:numPr>
        <w:tabs>
          <w:tab w:val="left" w:pos="900"/>
        </w:tabs>
        <w:spacing w:line="380" w:lineRule="atLeast"/>
        <w:ind w:left="1620" w:hanging="769"/>
        <w:rPr>
          <w:rFonts w:eastAsia="楷体_GB2312"/>
          <w:sz w:val="24"/>
        </w:rPr>
      </w:pPr>
      <w:bookmarkStart w:id="220" w:name="_DV_C379"/>
      <w:r>
        <w:rPr>
          <w:rStyle w:val="63"/>
          <w:rFonts w:eastAsia="楷体_GB2312"/>
          <w:color w:val="auto"/>
          <w:w w:val="0"/>
          <w:sz w:val="24"/>
          <w:u w:val="none"/>
        </w:rPr>
        <w:t>“资产支持证券”分为“优先级资产支持证券”和“次级资产支持证券”</w:t>
      </w:r>
      <w:bookmarkEnd w:id="220"/>
      <w:r>
        <w:rPr>
          <w:rFonts w:eastAsia="楷体_GB2312"/>
          <w:sz w:val="24"/>
        </w:rPr>
        <w:t>。</w:t>
      </w:r>
      <w:bookmarkStart w:id="221" w:name="_DV_C381"/>
      <w:r>
        <w:rPr>
          <w:rStyle w:val="63"/>
          <w:rFonts w:eastAsia="楷体_GB2312"/>
          <w:color w:val="auto"/>
          <w:w w:val="0"/>
          <w:sz w:val="24"/>
          <w:u w:val="none"/>
        </w:rPr>
        <w:t>“优先级资产支持证券”包括</w:t>
      </w:r>
      <w:bookmarkEnd w:id="221"/>
      <w:r>
        <w:rPr>
          <w:rStyle w:val="63"/>
          <w:rFonts w:eastAsia="楷体_GB2312"/>
          <w:color w:val="auto"/>
          <w:w w:val="0"/>
          <w:sz w:val="24"/>
          <w:u w:val="none"/>
        </w:rPr>
        <w:t>【</w:t>
      </w:r>
      <w:r>
        <w:rPr>
          <w:rFonts w:eastAsia="楷体_GB2312"/>
          <w:w w:val="0"/>
          <w:sz w:val="24"/>
        </w:rPr>
        <w:t>“</w:t>
      </w:r>
      <w:r>
        <w:rPr>
          <w:rStyle w:val="63"/>
          <w:rFonts w:eastAsia="楷体_GB2312"/>
          <w:color w:val="auto"/>
          <w:w w:val="0"/>
          <w:sz w:val="24"/>
          <w:u w:val="none"/>
        </w:rPr>
        <w:t>优先A档资产支持证券”</w:t>
      </w:r>
      <w:r>
        <w:rPr>
          <w:rFonts w:eastAsia="楷体_GB2312"/>
          <w:w w:val="0"/>
          <w:sz w:val="24"/>
        </w:rPr>
        <w:t>和</w:t>
      </w:r>
      <w:r>
        <w:rPr>
          <w:rStyle w:val="63"/>
          <w:rFonts w:eastAsia="楷体_GB2312"/>
          <w:color w:val="auto"/>
          <w:w w:val="0"/>
          <w:sz w:val="24"/>
          <w:u w:val="none"/>
        </w:rPr>
        <w:t>“优先B档资产支持证券”】。</w:t>
      </w:r>
    </w:p>
    <w:p w14:paraId="4EBAB4D1">
      <w:pPr>
        <w:tabs>
          <w:tab w:val="left" w:pos="2160"/>
        </w:tabs>
        <w:spacing w:line="380" w:lineRule="atLeast"/>
        <w:ind w:left="1080"/>
        <w:rPr>
          <w:rFonts w:eastAsia="楷体_GB2312"/>
          <w:sz w:val="24"/>
        </w:rPr>
      </w:pPr>
    </w:p>
    <w:p w14:paraId="6BB79921">
      <w:pPr>
        <w:numPr>
          <w:ilvl w:val="2"/>
          <w:numId w:val="4"/>
        </w:numPr>
        <w:spacing w:line="380" w:lineRule="atLeast"/>
        <w:ind w:left="1560" w:hanging="709"/>
        <w:rPr>
          <w:rFonts w:eastAsia="楷体_GB2312"/>
          <w:sz w:val="24"/>
        </w:rPr>
      </w:pPr>
      <w:r>
        <w:rPr>
          <w:rFonts w:eastAsia="楷体_GB2312"/>
          <w:sz w:val="24"/>
        </w:rPr>
        <w:t>在</w:t>
      </w:r>
      <w:bookmarkStart w:id="222" w:name="_Hlk55549418"/>
      <w:r>
        <w:rPr>
          <w:rFonts w:eastAsia="楷体_GB2312"/>
          <w:sz w:val="24"/>
        </w:rPr>
        <w:t>“资产支持证券”发行之日，全部</w:t>
      </w:r>
      <w:r>
        <w:rPr>
          <w:rFonts w:eastAsia="楷体_GB2312"/>
          <w:bCs/>
          <w:sz w:val="24"/>
        </w:rPr>
        <w:t>“</w:t>
      </w:r>
      <w:r>
        <w:rPr>
          <w:rFonts w:eastAsia="楷体_GB2312"/>
          <w:sz w:val="24"/>
        </w:rPr>
        <w:t>资产支持证券”的发行总量（面值）为</w:t>
      </w:r>
      <w:bookmarkEnd w:id="222"/>
      <w:r>
        <w:rPr>
          <w:rFonts w:eastAsia="楷体_GB2312"/>
          <w:sz w:val="24"/>
        </w:rPr>
        <w:t>【】元。</w:t>
      </w:r>
    </w:p>
    <w:p w14:paraId="7D7A73B5">
      <w:pPr>
        <w:spacing w:line="380" w:lineRule="atLeast"/>
        <w:jc w:val="left"/>
        <w:rPr>
          <w:rFonts w:eastAsia="楷体_GB2312"/>
          <w:sz w:val="24"/>
        </w:rPr>
      </w:pPr>
    </w:p>
    <w:p w14:paraId="5DB5D62C">
      <w:pPr>
        <w:numPr>
          <w:ilvl w:val="2"/>
          <w:numId w:val="4"/>
        </w:numPr>
        <w:tabs>
          <w:tab w:val="left" w:pos="900"/>
        </w:tabs>
        <w:spacing w:line="380" w:lineRule="atLeast"/>
        <w:ind w:left="1620" w:hanging="769"/>
        <w:rPr>
          <w:rFonts w:eastAsia="楷体_GB2312"/>
          <w:sz w:val="24"/>
        </w:rPr>
      </w:pPr>
      <w:r>
        <w:rPr>
          <w:rFonts w:eastAsia="楷体_GB2312"/>
          <w:sz w:val="24"/>
        </w:rPr>
        <w:t>符合交易流通要求的“资产支持证券”是可转让的金融产品，可在银行间债券市场上市交易，代表相关持有人在“信托”中享有的相应权益（包括接受本合同项下付款的权利）。</w:t>
      </w:r>
    </w:p>
    <w:p w14:paraId="23E633B9">
      <w:pPr>
        <w:tabs>
          <w:tab w:val="left" w:pos="1571"/>
        </w:tabs>
        <w:spacing w:line="380" w:lineRule="atLeast"/>
        <w:ind w:left="1620" w:hanging="769"/>
        <w:jc w:val="left"/>
        <w:rPr>
          <w:rFonts w:eastAsia="楷体_GB2312"/>
          <w:sz w:val="24"/>
        </w:rPr>
      </w:pPr>
      <w:bookmarkStart w:id="223" w:name="_DV_M262"/>
      <w:bookmarkEnd w:id="223"/>
      <w:bookmarkStart w:id="224" w:name="_DV_M259"/>
      <w:bookmarkEnd w:id="224"/>
      <w:bookmarkStart w:id="225" w:name="_DV_M257"/>
      <w:bookmarkEnd w:id="225"/>
      <w:bookmarkStart w:id="226" w:name="_DV_M258"/>
      <w:bookmarkEnd w:id="226"/>
      <w:bookmarkStart w:id="227" w:name="_DV_M260"/>
      <w:bookmarkEnd w:id="227"/>
      <w:bookmarkStart w:id="228" w:name="_DV_M261"/>
      <w:bookmarkEnd w:id="228"/>
    </w:p>
    <w:p w14:paraId="515AFC99">
      <w:pPr>
        <w:numPr>
          <w:ilvl w:val="1"/>
          <w:numId w:val="4"/>
        </w:numPr>
        <w:tabs>
          <w:tab w:val="left" w:pos="900"/>
        </w:tabs>
        <w:spacing w:line="380" w:lineRule="atLeast"/>
        <w:outlineLvl w:val="1"/>
        <w:rPr>
          <w:rFonts w:eastAsia="楷体_GB2312"/>
          <w:b/>
          <w:sz w:val="24"/>
        </w:rPr>
      </w:pPr>
      <w:bookmarkStart w:id="229" w:name="_Hlk55554565"/>
      <w:r>
        <w:rPr>
          <w:rFonts w:eastAsia="楷体_GB2312"/>
          <w:b/>
          <w:sz w:val="24"/>
        </w:rPr>
        <w:t>优先A档资产支持证券的基本特征</w:t>
      </w:r>
      <w:bookmarkStart w:id="230" w:name="_Hlk55554558"/>
    </w:p>
    <w:bookmarkEnd w:id="229"/>
    <w:p w14:paraId="2A9962DC">
      <w:pPr>
        <w:tabs>
          <w:tab w:val="left" w:pos="2160"/>
        </w:tabs>
        <w:spacing w:line="380" w:lineRule="atLeast"/>
        <w:rPr>
          <w:rFonts w:eastAsia="楷体_GB2312"/>
          <w:b/>
          <w:sz w:val="24"/>
        </w:rPr>
      </w:pPr>
    </w:p>
    <w:bookmarkEnd w:id="230"/>
    <w:p w14:paraId="59724D44">
      <w:pPr>
        <w:numPr>
          <w:ilvl w:val="2"/>
          <w:numId w:val="4"/>
        </w:numPr>
        <w:spacing w:line="380" w:lineRule="atLeast"/>
        <w:rPr>
          <w:rFonts w:eastAsia="楷体_GB2312"/>
          <w:sz w:val="24"/>
        </w:rPr>
      </w:pPr>
      <w:r>
        <w:rPr>
          <w:rFonts w:eastAsia="楷体_GB2312"/>
          <w:sz w:val="24"/>
        </w:rPr>
        <w:t>“优先A档资产支持证券”的比例：在“资产支持证券”发行之日，“优先A档资产支持证券”占全部“资产支持证券”发行总量（面值）的【】%，即</w:t>
      </w:r>
      <w:r>
        <w:rPr>
          <w:rFonts w:eastAsia="楷体_GB2312"/>
          <w:bCs/>
          <w:sz w:val="24"/>
        </w:rPr>
        <w:t>“</w:t>
      </w:r>
      <w:r>
        <w:rPr>
          <w:rFonts w:eastAsia="楷体_GB2312"/>
          <w:sz w:val="24"/>
        </w:rPr>
        <w:t>优先A档资产支持证券”的发行总量（面值）为人民币【】元。</w:t>
      </w:r>
    </w:p>
    <w:p w14:paraId="110AFE27">
      <w:pPr>
        <w:tabs>
          <w:tab w:val="left" w:pos="2160"/>
        </w:tabs>
        <w:spacing w:line="380" w:lineRule="atLeast"/>
        <w:rPr>
          <w:rFonts w:eastAsia="楷体_GB2312"/>
          <w:sz w:val="24"/>
        </w:rPr>
      </w:pPr>
    </w:p>
    <w:p w14:paraId="6DC4C67A">
      <w:pPr>
        <w:numPr>
          <w:ilvl w:val="2"/>
          <w:numId w:val="4"/>
        </w:numPr>
        <w:tabs>
          <w:tab w:val="left" w:pos="900"/>
        </w:tabs>
        <w:spacing w:line="380" w:lineRule="atLeast"/>
        <w:ind w:left="1620" w:hanging="769"/>
        <w:rPr>
          <w:rFonts w:eastAsia="楷体_GB2312"/>
          <w:sz w:val="24"/>
        </w:rPr>
      </w:pPr>
      <w:r>
        <w:rPr>
          <w:rFonts w:eastAsia="楷体_GB2312"/>
          <w:sz w:val="24"/>
        </w:rPr>
        <w:t>面值：每张</w:t>
      </w:r>
      <w:r>
        <w:rPr>
          <w:rFonts w:eastAsia="楷体_GB2312"/>
          <w:bCs/>
          <w:sz w:val="24"/>
        </w:rPr>
        <w:t>“</w:t>
      </w:r>
      <w:r>
        <w:rPr>
          <w:rFonts w:eastAsia="楷体_GB2312"/>
          <w:sz w:val="24"/>
        </w:rPr>
        <w:t>优先A档资产支持证券”的面值为人民币100元。</w:t>
      </w:r>
    </w:p>
    <w:p w14:paraId="30FF2BE2">
      <w:pPr>
        <w:tabs>
          <w:tab w:val="left" w:pos="2160"/>
        </w:tabs>
        <w:spacing w:line="380" w:lineRule="atLeast"/>
        <w:rPr>
          <w:rFonts w:eastAsia="楷体_GB2312"/>
          <w:sz w:val="24"/>
        </w:rPr>
      </w:pPr>
    </w:p>
    <w:p w14:paraId="484356CA">
      <w:pPr>
        <w:numPr>
          <w:ilvl w:val="2"/>
          <w:numId w:val="4"/>
        </w:numPr>
        <w:tabs>
          <w:tab w:val="left" w:pos="900"/>
        </w:tabs>
        <w:spacing w:line="380" w:lineRule="atLeast"/>
        <w:ind w:left="1620" w:hanging="769"/>
        <w:rPr>
          <w:rFonts w:eastAsia="楷体_GB2312"/>
          <w:sz w:val="24"/>
        </w:rPr>
      </w:pPr>
      <w:r>
        <w:rPr>
          <w:rFonts w:eastAsia="楷体_GB2312"/>
          <w:sz w:val="24"/>
        </w:rPr>
        <w:t>发行价格：按面值发行。</w:t>
      </w:r>
    </w:p>
    <w:p w14:paraId="5A656D7B">
      <w:pPr>
        <w:tabs>
          <w:tab w:val="left" w:pos="2160"/>
        </w:tabs>
        <w:spacing w:line="380" w:lineRule="atLeast"/>
        <w:rPr>
          <w:rFonts w:eastAsia="楷体_GB2312"/>
          <w:sz w:val="24"/>
        </w:rPr>
      </w:pPr>
    </w:p>
    <w:p w14:paraId="0025E952">
      <w:pPr>
        <w:numPr>
          <w:ilvl w:val="2"/>
          <w:numId w:val="4"/>
        </w:numPr>
        <w:tabs>
          <w:tab w:val="left" w:pos="900"/>
        </w:tabs>
        <w:spacing w:line="380" w:lineRule="atLeast"/>
        <w:ind w:left="1620" w:hanging="769"/>
        <w:rPr>
          <w:rFonts w:eastAsia="楷体_GB2312"/>
          <w:sz w:val="24"/>
        </w:rPr>
      </w:pPr>
      <w:r>
        <w:rPr>
          <w:rFonts w:eastAsia="楷体_GB2312"/>
          <w:sz w:val="24"/>
        </w:rPr>
        <w:t>期限：自“信托生效日”（含该日）至“法定到期日”（不含该日）止。“法定到期日”并不是</w:t>
      </w:r>
      <w:r>
        <w:rPr>
          <w:rFonts w:eastAsia="楷体_GB2312"/>
          <w:bCs/>
          <w:sz w:val="24"/>
        </w:rPr>
        <w:t>“</w:t>
      </w:r>
      <w:r>
        <w:rPr>
          <w:rFonts w:eastAsia="楷体_GB2312"/>
          <w:sz w:val="24"/>
        </w:rPr>
        <w:t>优先A档资产支持证券”的实际到期日，“优先A档资产支持证券”的本金将可能于“法定到期日”前清偿完毕。</w:t>
      </w:r>
    </w:p>
    <w:p w14:paraId="497495E7">
      <w:pPr>
        <w:pStyle w:val="78"/>
        <w:ind w:firstLine="0" w:firstLineChars="0"/>
        <w:rPr>
          <w:rFonts w:eastAsia="楷体_GB2312"/>
          <w:w w:val="0"/>
          <w:sz w:val="24"/>
        </w:rPr>
      </w:pPr>
    </w:p>
    <w:p w14:paraId="18A791B8">
      <w:pPr>
        <w:numPr>
          <w:ilvl w:val="2"/>
          <w:numId w:val="4"/>
        </w:numPr>
        <w:tabs>
          <w:tab w:val="left" w:pos="900"/>
        </w:tabs>
        <w:spacing w:line="380" w:lineRule="atLeast"/>
        <w:ind w:left="1620" w:hanging="769"/>
        <w:rPr>
          <w:rFonts w:eastAsia="楷体_GB2312"/>
          <w:w w:val="0"/>
          <w:sz w:val="24"/>
        </w:rPr>
      </w:pPr>
      <w:r>
        <w:rPr>
          <w:rFonts w:eastAsia="楷体_GB2312"/>
          <w:w w:val="0"/>
          <w:sz w:val="24"/>
        </w:rPr>
        <w:t>法定到期日：</w:t>
      </w:r>
      <w:r>
        <w:rPr>
          <w:rFonts w:eastAsia="楷体_GB2312"/>
          <w:sz w:val="24"/>
        </w:rPr>
        <w:t>【】年【】月【】日</w:t>
      </w:r>
      <w:r>
        <w:rPr>
          <w:rFonts w:eastAsia="楷体_GB2312"/>
          <w:w w:val="0"/>
          <w:sz w:val="24"/>
        </w:rPr>
        <w:t>。</w:t>
      </w:r>
    </w:p>
    <w:p w14:paraId="6F8DF6B0">
      <w:pPr>
        <w:tabs>
          <w:tab w:val="left" w:pos="2160"/>
        </w:tabs>
        <w:spacing w:line="380" w:lineRule="atLeast"/>
        <w:rPr>
          <w:rFonts w:eastAsia="楷体_GB2312"/>
          <w:sz w:val="24"/>
        </w:rPr>
      </w:pPr>
    </w:p>
    <w:p w14:paraId="343DBCA4">
      <w:pPr>
        <w:numPr>
          <w:ilvl w:val="2"/>
          <w:numId w:val="4"/>
        </w:numPr>
        <w:tabs>
          <w:tab w:val="left" w:pos="900"/>
        </w:tabs>
        <w:spacing w:line="380" w:lineRule="atLeast"/>
        <w:ind w:left="1620" w:hanging="769"/>
        <w:rPr>
          <w:rFonts w:eastAsia="楷体_GB2312"/>
          <w:sz w:val="24"/>
        </w:rPr>
      </w:pPr>
      <w:bookmarkStart w:id="231" w:name="_Hlk55554547"/>
      <w:r>
        <w:rPr>
          <w:rFonts w:eastAsia="楷体_GB2312"/>
          <w:sz w:val="24"/>
        </w:rPr>
        <w:t>票面利率：</w:t>
      </w:r>
      <w:r>
        <w:rPr>
          <w:rFonts w:eastAsia="楷体_GB2312"/>
          <w:color w:val="000000"/>
          <w:sz w:val="24"/>
        </w:rPr>
        <w:t>“票面利率”为【固定利率】，根据“簿记建档”结果确定</w:t>
      </w:r>
      <w:r>
        <w:rPr>
          <w:rFonts w:eastAsia="楷体_GB2312"/>
          <w:bCs/>
          <w:sz w:val="24"/>
        </w:rPr>
        <w:t>。/【“基准利率”+“基本利差”。其中，“基准利率”系指“人民银行”授权的机构（在“信托生效日”为“同业拆借中心”）发布的【】年期贷款市场报价利率（LPR）。其中，第一个“计息期间”的“基准利率”为【】年【】月发布的【】年期贷款市场报价利率（LPR）。“基准利率”将于基准利率调整日进行调整，基准利率调整日为“信托生效日”后每年的</w:t>
      </w:r>
      <w:r>
        <w:rPr>
          <w:rFonts w:eastAsia="楷体_GB2312"/>
          <w:sz w:val="24"/>
        </w:rPr>
        <w:t>【】</w:t>
      </w:r>
      <w:r>
        <w:rPr>
          <w:rFonts w:eastAsia="楷体_GB2312"/>
          <w:bCs/>
          <w:sz w:val="24"/>
        </w:rPr>
        <w:t>月</w:t>
      </w:r>
      <w:r>
        <w:rPr>
          <w:rFonts w:eastAsia="楷体_GB2312"/>
          <w:sz w:val="24"/>
        </w:rPr>
        <w:t>【】</w:t>
      </w:r>
      <w:r>
        <w:rPr>
          <w:rFonts w:eastAsia="楷体_GB2312"/>
          <w:bCs/>
          <w:sz w:val="24"/>
        </w:rPr>
        <w:t>日，其中第一个基准利率调整日为【】年</w:t>
      </w:r>
      <w:r>
        <w:rPr>
          <w:rFonts w:eastAsia="楷体_GB2312"/>
          <w:sz w:val="24"/>
        </w:rPr>
        <w:t>【】</w:t>
      </w:r>
      <w:r>
        <w:rPr>
          <w:rFonts w:eastAsia="楷体_GB2312"/>
          <w:bCs/>
          <w:sz w:val="24"/>
        </w:rPr>
        <w:t>月</w:t>
      </w:r>
      <w:r>
        <w:rPr>
          <w:rFonts w:eastAsia="楷体_GB2312"/>
          <w:sz w:val="24"/>
        </w:rPr>
        <w:t>【】</w:t>
      </w:r>
      <w:r>
        <w:rPr>
          <w:rFonts w:eastAsia="楷体_GB2312"/>
          <w:bCs/>
          <w:sz w:val="24"/>
        </w:rPr>
        <w:t>日，“基准利率”于基准利率调整日调整为基准利率调整日前一个月发布的【】年期贷款市场报价利率。若“人民银行”后续要求按照新的定价基准调整【】年期存量浮动利率贷款的利率，或允许商业银行自行确定【】年期存量浮动利率贷款的定价基准的，则基准利率采用届时“【发起机构简称】”【】年期存量浮动利率贷款适用的定价基准，基准利率调整日为新定价基准实施后每年的</w:t>
      </w:r>
      <w:r>
        <w:rPr>
          <w:rFonts w:eastAsia="楷体_GB2312"/>
          <w:sz w:val="24"/>
        </w:rPr>
        <w:t>【】</w:t>
      </w:r>
      <w:r>
        <w:rPr>
          <w:rFonts w:eastAsia="楷体_GB2312"/>
          <w:bCs/>
          <w:sz w:val="24"/>
        </w:rPr>
        <w:t>月</w:t>
      </w:r>
      <w:r>
        <w:rPr>
          <w:rFonts w:eastAsia="楷体_GB2312"/>
          <w:sz w:val="24"/>
        </w:rPr>
        <w:t>【】</w:t>
      </w:r>
      <w:r>
        <w:rPr>
          <w:rFonts w:eastAsia="楷体_GB2312"/>
          <w:bCs/>
          <w:sz w:val="24"/>
        </w:rPr>
        <w:t>日，“基准利率”于基准利率调整日调整为基准利率调整日前一个月“【发起机构简称】”【】年期存量浮动利率贷款适用的定价基准。】</w:t>
      </w:r>
    </w:p>
    <w:bookmarkEnd w:id="231"/>
    <w:p w14:paraId="3F7ABF69">
      <w:pPr>
        <w:tabs>
          <w:tab w:val="left" w:pos="2160"/>
        </w:tabs>
        <w:spacing w:line="380" w:lineRule="atLeast"/>
        <w:rPr>
          <w:rFonts w:eastAsia="楷体_GB2312"/>
          <w:sz w:val="24"/>
        </w:rPr>
      </w:pPr>
    </w:p>
    <w:p w14:paraId="630E0532">
      <w:pPr>
        <w:numPr>
          <w:ilvl w:val="2"/>
          <w:numId w:val="4"/>
        </w:numPr>
        <w:tabs>
          <w:tab w:val="left" w:pos="900"/>
        </w:tabs>
        <w:spacing w:line="380" w:lineRule="atLeast"/>
        <w:ind w:left="1620" w:hanging="769"/>
        <w:rPr>
          <w:rFonts w:eastAsia="楷体_GB2312"/>
          <w:sz w:val="24"/>
        </w:rPr>
      </w:pPr>
      <w:r>
        <w:rPr>
          <w:rFonts w:eastAsia="楷体_GB2312"/>
          <w:sz w:val="24"/>
        </w:rPr>
        <w:t>计息期间：自一个“计息日”（含该日）到下一个“计息日”（不含该日）的期间。但第一个“计息期间”指“起息日”（含该日）开始并于第一个“计息日”（不含该日）结束。</w:t>
      </w:r>
    </w:p>
    <w:p w14:paraId="2BEA3824">
      <w:pPr>
        <w:tabs>
          <w:tab w:val="left" w:pos="2160"/>
        </w:tabs>
        <w:spacing w:line="380" w:lineRule="atLeast"/>
        <w:rPr>
          <w:rFonts w:eastAsia="楷体_GB2312"/>
          <w:sz w:val="24"/>
        </w:rPr>
      </w:pPr>
    </w:p>
    <w:p w14:paraId="537882E9">
      <w:pPr>
        <w:numPr>
          <w:ilvl w:val="2"/>
          <w:numId w:val="4"/>
        </w:numPr>
        <w:tabs>
          <w:tab w:val="left" w:pos="900"/>
        </w:tabs>
        <w:spacing w:line="380" w:lineRule="atLeast"/>
        <w:ind w:left="1620" w:hanging="769"/>
        <w:rPr>
          <w:rFonts w:eastAsia="楷体_GB2312"/>
          <w:sz w:val="24"/>
        </w:rPr>
      </w:pPr>
      <w:r>
        <w:rPr>
          <w:rFonts w:eastAsia="楷体_GB2312"/>
          <w:sz w:val="24"/>
        </w:rPr>
        <w:t>计息方式：“优先A档资产支持证券”在前一个“支付日”本金兑付完毕之后的“未偿本金余额”（就第一个“支付日”而言，即“优先A档资产支持证券”在“信托生效日”的面值）×票面利率×“计息期间”实际天数÷365；尾数计算到分，分以下四舍五入；单利计息。</w:t>
      </w:r>
    </w:p>
    <w:p w14:paraId="51430992">
      <w:pPr>
        <w:tabs>
          <w:tab w:val="left" w:pos="2160"/>
        </w:tabs>
        <w:spacing w:line="380" w:lineRule="atLeast"/>
        <w:rPr>
          <w:rFonts w:eastAsia="楷体_GB2312"/>
          <w:sz w:val="24"/>
        </w:rPr>
      </w:pPr>
    </w:p>
    <w:p w14:paraId="13D31995">
      <w:pPr>
        <w:numPr>
          <w:ilvl w:val="2"/>
          <w:numId w:val="4"/>
        </w:numPr>
        <w:tabs>
          <w:tab w:val="left" w:pos="900"/>
        </w:tabs>
        <w:spacing w:line="380" w:lineRule="atLeast"/>
        <w:ind w:left="1620" w:hanging="769"/>
        <w:rPr>
          <w:rFonts w:eastAsia="楷体_GB2312"/>
          <w:sz w:val="24"/>
        </w:rPr>
      </w:pPr>
      <w:r>
        <w:rPr>
          <w:rFonts w:eastAsia="楷体_GB2312"/>
          <w:sz w:val="24"/>
        </w:rPr>
        <w:t>还本付息方式：根据本合同第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条约定的支付顺序进行支付。其中：本金还款金额的计算方式按照本合同约定的</w:t>
      </w:r>
      <w:r>
        <w:rPr>
          <w:rFonts w:eastAsia="楷体_GB2312"/>
          <w:bCs/>
          <w:sz w:val="24"/>
        </w:rPr>
        <w:t>“</w:t>
      </w:r>
      <w:r>
        <w:rPr>
          <w:rFonts w:eastAsia="楷体_GB2312"/>
          <w:sz w:val="24"/>
        </w:rPr>
        <w:t>资产支持证券</w:t>
      </w:r>
      <w:r>
        <w:rPr>
          <w:rFonts w:eastAsia="楷体_GB2312"/>
          <w:bCs/>
          <w:sz w:val="24"/>
        </w:rPr>
        <w:t>”</w:t>
      </w:r>
      <w:r>
        <w:rPr>
          <w:rFonts w:eastAsia="楷体_GB2312"/>
          <w:sz w:val="24"/>
        </w:rPr>
        <w:t>本金还款金额计算方式（见本合同</w:t>
      </w:r>
      <w:r>
        <w:rPr>
          <w:rFonts w:eastAsia="楷体_GB2312"/>
          <w:i/>
          <w:iCs/>
          <w:sz w:val="24"/>
        </w:rPr>
        <w:t>【</w:t>
      </w:r>
      <w:r>
        <w:rPr>
          <w:rFonts w:eastAsia="楷体_GB2312"/>
          <w:b/>
          <w:i/>
          <w:sz w:val="24"/>
        </w:rPr>
        <w:t>附件五】</w:t>
      </w:r>
      <w:r>
        <w:rPr>
          <w:rFonts w:eastAsia="楷体_GB2312"/>
          <w:sz w:val="24"/>
        </w:rPr>
        <w:t>）进行。</w:t>
      </w:r>
    </w:p>
    <w:p w14:paraId="2489200E">
      <w:pPr>
        <w:tabs>
          <w:tab w:val="left" w:pos="2160"/>
        </w:tabs>
        <w:spacing w:line="380" w:lineRule="atLeast"/>
        <w:rPr>
          <w:rFonts w:eastAsia="楷体_GB2312"/>
          <w:sz w:val="24"/>
        </w:rPr>
      </w:pPr>
    </w:p>
    <w:p w14:paraId="3B9F7208">
      <w:pPr>
        <w:numPr>
          <w:ilvl w:val="2"/>
          <w:numId w:val="4"/>
        </w:numPr>
        <w:tabs>
          <w:tab w:val="left" w:pos="900"/>
        </w:tabs>
        <w:spacing w:line="380" w:lineRule="atLeast"/>
        <w:ind w:left="1620" w:hanging="769"/>
        <w:rPr>
          <w:rFonts w:eastAsia="楷体_GB2312"/>
          <w:sz w:val="24"/>
        </w:rPr>
      </w:pPr>
      <w:r>
        <w:rPr>
          <w:rFonts w:eastAsia="楷体_GB2312"/>
          <w:sz w:val="24"/>
        </w:rPr>
        <w:t>证券形式：采用实名记账方式，由“登记托管机构”统一托管。</w:t>
      </w:r>
    </w:p>
    <w:p w14:paraId="6EE6788A">
      <w:pPr>
        <w:tabs>
          <w:tab w:val="left" w:pos="2160"/>
        </w:tabs>
        <w:spacing w:line="380" w:lineRule="atLeast"/>
        <w:rPr>
          <w:rFonts w:eastAsia="楷体_GB2312"/>
          <w:sz w:val="24"/>
        </w:rPr>
      </w:pPr>
    </w:p>
    <w:p w14:paraId="1AAB4BF5">
      <w:pPr>
        <w:numPr>
          <w:ilvl w:val="2"/>
          <w:numId w:val="4"/>
        </w:numPr>
        <w:tabs>
          <w:tab w:val="left" w:pos="900"/>
        </w:tabs>
        <w:spacing w:line="380" w:lineRule="atLeast"/>
        <w:ind w:left="1620" w:hanging="769"/>
        <w:rPr>
          <w:rFonts w:eastAsia="楷体_GB2312"/>
          <w:sz w:val="24"/>
        </w:rPr>
      </w:pPr>
      <w:r>
        <w:rPr>
          <w:rFonts w:eastAsia="楷体_GB2312"/>
          <w:sz w:val="24"/>
        </w:rPr>
        <w:t>税收：有关“优先A档资产支持证券”本金和利息的所有付款，如须依照适用的“中国法律”预提或扣除任何税收、规费或任何性质的政府收费，则“受托人”无需就该等预提或扣除支付任何额外的款项。</w:t>
      </w:r>
    </w:p>
    <w:p w14:paraId="388DB95D">
      <w:pPr>
        <w:tabs>
          <w:tab w:val="left" w:pos="2160"/>
        </w:tabs>
        <w:spacing w:line="380" w:lineRule="atLeast"/>
        <w:ind w:left="1080"/>
        <w:rPr>
          <w:rFonts w:eastAsia="楷体_GB2312"/>
          <w:sz w:val="24"/>
        </w:rPr>
      </w:pPr>
    </w:p>
    <w:p w14:paraId="300D09F1">
      <w:pPr>
        <w:numPr>
          <w:ilvl w:val="2"/>
          <w:numId w:val="4"/>
        </w:numPr>
        <w:tabs>
          <w:tab w:val="left" w:pos="900"/>
        </w:tabs>
        <w:spacing w:line="380" w:lineRule="atLeast"/>
        <w:ind w:left="1620" w:hanging="769"/>
        <w:rPr>
          <w:rFonts w:eastAsia="楷体_GB2312"/>
          <w:sz w:val="24"/>
        </w:rPr>
      </w:pPr>
      <w:r>
        <w:rPr>
          <w:rFonts w:eastAsia="楷体_GB2312"/>
          <w:sz w:val="24"/>
        </w:rPr>
        <w:t>币种：人民币。</w:t>
      </w:r>
    </w:p>
    <w:p w14:paraId="7F431E44">
      <w:pPr>
        <w:tabs>
          <w:tab w:val="left" w:pos="2160"/>
        </w:tabs>
        <w:spacing w:line="380" w:lineRule="atLeast"/>
        <w:ind w:left="1080"/>
        <w:rPr>
          <w:rFonts w:eastAsia="楷体_GB2312"/>
          <w:sz w:val="24"/>
        </w:rPr>
      </w:pPr>
    </w:p>
    <w:p w14:paraId="4CED0DFD">
      <w:pPr>
        <w:numPr>
          <w:ilvl w:val="2"/>
          <w:numId w:val="4"/>
        </w:numPr>
        <w:tabs>
          <w:tab w:val="left" w:pos="900"/>
        </w:tabs>
        <w:spacing w:line="380" w:lineRule="atLeast"/>
        <w:ind w:left="1620" w:hanging="769"/>
        <w:rPr>
          <w:rFonts w:eastAsia="楷体_GB2312"/>
          <w:sz w:val="24"/>
        </w:rPr>
      </w:pPr>
      <w:r>
        <w:rPr>
          <w:rFonts w:eastAsia="楷体_GB2312"/>
          <w:sz w:val="24"/>
        </w:rPr>
        <w:t>信用级别：在“资产支持证券”发行之日，</w:t>
      </w:r>
      <w:r>
        <w:rPr>
          <w:rFonts w:eastAsia="楷体_GB2312"/>
          <w:bCs/>
          <w:sz w:val="24"/>
        </w:rPr>
        <w:t>“</w:t>
      </w:r>
      <w:r>
        <w:rPr>
          <w:rFonts w:eastAsia="楷体_GB2312"/>
          <w:sz w:val="24"/>
        </w:rPr>
        <w:t>【评级机构1简称】”给予</w:t>
      </w:r>
      <w:r>
        <w:rPr>
          <w:rFonts w:eastAsia="楷体_GB2312"/>
          <w:bCs/>
          <w:sz w:val="24"/>
        </w:rPr>
        <w:t>“</w:t>
      </w:r>
      <w:r>
        <w:rPr>
          <w:rFonts w:eastAsia="楷体_GB2312"/>
          <w:sz w:val="24"/>
        </w:rPr>
        <w:t>优先A档资产支持证券”信用级别为【】</w:t>
      </w:r>
      <w:r>
        <w:rPr>
          <w:rFonts w:eastAsia="楷体_GB2312"/>
          <w:sz w:val="24"/>
          <w:vertAlign w:val="subscript"/>
        </w:rPr>
        <w:t>sf</w:t>
      </w:r>
      <w:r>
        <w:rPr>
          <w:rFonts w:eastAsia="楷体_GB2312"/>
          <w:sz w:val="24"/>
        </w:rPr>
        <w:t>级，</w:t>
      </w:r>
      <w:r>
        <w:rPr>
          <w:rFonts w:eastAsia="楷体_GB2312"/>
          <w:bCs/>
          <w:sz w:val="24"/>
        </w:rPr>
        <w:t>“</w:t>
      </w:r>
      <w:r>
        <w:rPr>
          <w:rFonts w:eastAsia="楷体_GB2312"/>
          <w:sz w:val="24"/>
        </w:rPr>
        <w:t>【评级机构2简称】”给予</w:t>
      </w:r>
      <w:r>
        <w:rPr>
          <w:rFonts w:eastAsia="楷体_GB2312"/>
          <w:bCs/>
          <w:sz w:val="24"/>
        </w:rPr>
        <w:t>“</w:t>
      </w:r>
      <w:r>
        <w:rPr>
          <w:rFonts w:eastAsia="楷体_GB2312"/>
          <w:sz w:val="24"/>
        </w:rPr>
        <w:t>优先A档资产支持证券”信用级别为【】</w:t>
      </w:r>
      <w:r>
        <w:rPr>
          <w:rFonts w:eastAsia="楷体_GB2312"/>
          <w:sz w:val="24"/>
          <w:vertAlign w:val="subscript"/>
        </w:rPr>
        <w:t>sf</w:t>
      </w:r>
      <w:r>
        <w:rPr>
          <w:rFonts w:eastAsia="楷体_GB2312"/>
          <w:sz w:val="24"/>
        </w:rPr>
        <w:t>级。</w:t>
      </w:r>
    </w:p>
    <w:p w14:paraId="3D3E8358">
      <w:pPr>
        <w:spacing w:line="380" w:lineRule="atLeast"/>
        <w:jc w:val="left"/>
        <w:rPr>
          <w:rFonts w:eastAsia="楷体_GB2312"/>
          <w:sz w:val="24"/>
        </w:rPr>
      </w:pPr>
    </w:p>
    <w:p w14:paraId="2241980B">
      <w:pPr>
        <w:numPr>
          <w:ilvl w:val="1"/>
          <w:numId w:val="4"/>
        </w:numPr>
        <w:spacing w:line="380" w:lineRule="atLeast"/>
        <w:outlineLvl w:val="1"/>
        <w:rPr>
          <w:rFonts w:eastAsia="楷体_GB2312"/>
          <w:b/>
          <w:sz w:val="24"/>
        </w:rPr>
      </w:pPr>
      <w:bookmarkStart w:id="232" w:name="_Toc146989583"/>
      <w:bookmarkEnd w:id="232"/>
      <w:r>
        <w:rPr>
          <w:rFonts w:eastAsia="楷体_GB2312"/>
          <w:b/>
          <w:sz w:val="24"/>
        </w:rPr>
        <w:t>优先B档资产支持证券的基本特征</w:t>
      </w:r>
    </w:p>
    <w:p w14:paraId="4972A600">
      <w:pPr>
        <w:spacing w:line="380" w:lineRule="atLeast"/>
        <w:jc w:val="left"/>
        <w:rPr>
          <w:rFonts w:eastAsia="楷体_GB2312"/>
          <w:b/>
          <w:sz w:val="24"/>
        </w:rPr>
      </w:pPr>
    </w:p>
    <w:p w14:paraId="4E573D31">
      <w:pPr>
        <w:numPr>
          <w:ilvl w:val="2"/>
          <w:numId w:val="4"/>
        </w:numPr>
        <w:tabs>
          <w:tab w:val="left" w:pos="900"/>
        </w:tabs>
        <w:spacing w:line="380" w:lineRule="atLeast"/>
        <w:rPr>
          <w:rFonts w:eastAsia="楷体_GB2312"/>
          <w:sz w:val="24"/>
        </w:rPr>
      </w:pPr>
      <w:r>
        <w:rPr>
          <w:rFonts w:eastAsia="楷体_GB2312"/>
          <w:sz w:val="24"/>
        </w:rPr>
        <w:t>“优先B档资产支持证券”的比例：在“资产支持证券”发行之日，“优先B档资产支持证券”占全部“资产支持证券”发行总量（面值）的【】%，即“优先B档资产支持证券”的发行总量（面值）为人民币【】元。</w:t>
      </w:r>
    </w:p>
    <w:p w14:paraId="03D36FEC">
      <w:pPr>
        <w:tabs>
          <w:tab w:val="left" w:pos="2160"/>
        </w:tabs>
        <w:spacing w:line="380" w:lineRule="atLeast"/>
        <w:ind w:left="1080"/>
        <w:rPr>
          <w:rFonts w:eastAsia="楷体_GB2312"/>
          <w:sz w:val="24"/>
        </w:rPr>
      </w:pPr>
    </w:p>
    <w:p w14:paraId="61797285">
      <w:pPr>
        <w:numPr>
          <w:ilvl w:val="2"/>
          <w:numId w:val="4"/>
        </w:numPr>
        <w:tabs>
          <w:tab w:val="left" w:pos="900"/>
        </w:tabs>
        <w:spacing w:line="380" w:lineRule="atLeast"/>
        <w:ind w:left="1620" w:hanging="769"/>
        <w:rPr>
          <w:rFonts w:eastAsia="楷体_GB2312"/>
          <w:sz w:val="24"/>
        </w:rPr>
      </w:pPr>
      <w:r>
        <w:rPr>
          <w:rFonts w:eastAsia="楷体_GB2312"/>
          <w:sz w:val="24"/>
        </w:rPr>
        <w:t>面值：每张“优先B档资产支持证券”的面值为人民币100元。</w:t>
      </w:r>
    </w:p>
    <w:p w14:paraId="0B2B4497">
      <w:pPr>
        <w:tabs>
          <w:tab w:val="left" w:pos="2160"/>
        </w:tabs>
        <w:spacing w:line="380" w:lineRule="atLeast"/>
        <w:ind w:left="1080"/>
        <w:rPr>
          <w:rFonts w:eastAsia="楷体_GB2312"/>
          <w:sz w:val="24"/>
        </w:rPr>
      </w:pPr>
    </w:p>
    <w:p w14:paraId="15F31A64">
      <w:pPr>
        <w:numPr>
          <w:ilvl w:val="2"/>
          <w:numId w:val="4"/>
        </w:numPr>
        <w:tabs>
          <w:tab w:val="left" w:pos="900"/>
        </w:tabs>
        <w:spacing w:line="380" w:lineRule="atLeast"/>
        <w:ind w:left="1620" w:hanging="769"/>
        <w:rPr>
          <w:rFonts w:eastAsia="楷体_GB2312"/>
          <w:sz w:val="24"/>
        </w:rPr>
      </w:pPr>
      <w:r>
        <w:rPr>
          <w:rFonts w:eastAsia="楷体_GB2312"/>
          <w:sz w:val="24"/>
        </w:rPr>
        <w:t>发行价格：按面值发行。</w:t>
      </w:r>
    </w:p>
    <w:p w14:paraId="2A483763">
      <w:pPr>
        <w:tabs>
          <w:tab w:val="left" w:pos="2160"/>
        </w:tabs>
        <w:spacing w:line="380" w:lineRule="atLeast"/>
        <w:ind w:left="1080"/>
        <w:rPr>
          <w:rFonts w:eastAsia="楷体_GB2312"/>
          <w:sz w:val="24"/>
        </w:rPr>
      </w:pPr>
    </w:p>
    <w:p w14:paraId="2F818843">
      <w:pPr>
        <w:numPr>
          <w:ilvl w:val="2"/>
          <w:numId w:val="4"/>
        </w:numPr>
        <w:tabs>
          <w:tab w:val="left" w:pos="900"/>
        </w:tabs>
        <w:spacing w:line="380" w:lineRule="atLeast"/>
        <w:ind w:left="1620" w:hanging="769"/>
        <w:rPr>
          <w:rFonts w:eastAsia="楷体_GB2312"/>
          <w:sz w:val="24"/>
        </w:rPr>
      </w:pPr>
      <w:r>
        <w:rPr>
          <w:rFonts w:eastAsia="楷体_GB2312"/>
          <w:sz w:val="24"/>
        </w:rPr>
        <w:t>期限：自“信托生效日”（含该日）至“法定到期日”（不含该日）止。“法定到期日”并不是</w:t>
      </w:r>
      <w:r>
        <w:rPr>
          <w:rFonts w:eastAsia="楷体_GB2312"/>
          <w:bCs/>
          <w:sz w:val="24"/>
        </w:rPr>
        <w:t>“</w:t>
      </w:r>
      <w:r>
        <w:rPr>
          <w:rFonts w:eastAsia="楷体_GB2312"/>
          <w:sz w:val="24"/>
        </w:rPr>
        <w:t>优先B档资产支持证券”的实际到期日，</w:t>
      </w:r>
      <w:r>
        <w:rPr>
          <w:rFonts w:eastAsia="楷体_GB2312"/>
          <w:bCs/>
          <w:sz w:val="24"/>
        </w:rPr>
        <w:t>“</w:t>
      </w:r>
      <w:r>
        <w:rPr>
          <w:rFonts w:eastAsia="楷体_GB2312"/>
          <w:sz w:val="24"/>
        </w:rPr>
        <w:t>优先B档资产支持证券”的本金将可能于“法定到期日”前清偿完毕。</w:t>
      </w:r>
    </w:p>
    <w:p w14:paraId="17554E21">
      <w:pPr>
        <w:pStyle w:val="78"/>
        <w:ind w:firstLine="0" w:firstLineChars="0"/>
        <w:rPr>
          <w:rFonts w:eastAsia="楷体_GB2312"/>
          <w:w w:val="0"/>
          <w:sz w:val="24"/>
        </w:rPr>
      </w:pPr>
    </w:p>
    <w:p w14:paraId="3EA30F05">
      <w:pPr>
        <w:numPr>
          <w:ilvl w:val="2"/>
          <w:numId w:val="4"/>
        </w:numPr>
        <w:tabs>
          <w:tab w:val="left" w:pos="900"/>
        </w:tabs>
        <w:spacing w:line="380" w:lineRule="atLeast"/>
        <w:ind w:left="1620" w:hanging="769"/>
        <w:rPr>
          <w:rFonts w:eastAsia="楷体_GB2312"/>
          <w:w w:val="0"/>
          <w:sz w:val="24"/>
        </w:rPr>
      </w:pPr>
      <w:r>
        <w:rPr>
          <w:rFonts w:eastAsia="楷体_GB2312"/>
          <w:w w:val="0"/>
          <w:sz w:val="24"/>
        </w:rPr>
        <w:t>法定到期日：</w:t>
      </w:r>
      <w:r>
        <w:rPr>
          <w:rFonts w:eastAsia="楷体_GB2312"/>
          <w:sz w:val="24"/>
        </w:rPr>
        <w:t>【】年【】月【】日</w:t>
      </w:r>
      <w:r>
        <w:rPr>
          <w:rFonts w:eastAsia="楷体_GB2312"/>
          <w:w w:val="0"/>
          <w:sz w:val="24"/>
        </w:rPr>
        <w:t>。</w:t>
      </w:r>
    </w:p>
    <w:p w14:paraId="10841427">
      <w:pPr>
        <w:tabs>
          <w:tab w:val="left" w:pos="2160"/>
        </w:tabs>
        <w:spacing w:line="380" w:lineRule="atLeast"/>
        <w:ind w:left="1080"/>
        <w:rPr>
          <w:rFonts w:eastAsia="楷体_GB2312"/>
          <w:sz w:val="24"/>
        </w:rPr>
      </w:pPr>
    </w:p>
    <w:p w14:paraId="3605CDC5">
      <w:pPr>
        <w:numPr>
          <w:ilvl w:val="2"/>
          <w:numId w:val="4"/>
        </w:numPr>
        <w:tabs>
          <w:tab w:val="left" w:pos="900"/>
        </w:tabs>
        <w:spacing w:line="380" w:lineRule="atLeast"/>
        <w:ind w:left="1620" w:hanging="769"/>
        <w:rPr>
          <w:rFonts w:eastAsia="楷体_GB2312"/>
          <w:sz w:val="24"/>
        </w:rPr>
      </w:pPr>
      <w:r>
        <w:rPr>
          <w:rFonts w:eastAsia="楷体_GB2312"/>
          <w:sz w:val="24"/>
        </w:rPr>
        <w:t>票面利率：</w:t>
      </w:r>
      <w:r>
        <w:rPr>
          <w:rFonts w:eastAsia="楷体_GB2312"/>
          <w:color w:val="000000"/>
          <w:sz w:val="24"/>
        </w:rPr>
        <w:t>“票面利率”为【固定利率】，根据“簿记建档”结果确定</w:t>
      </w:r>
      <w:r>
        <w:rPr>
          <w:rFonts w:eastAsia="楷体_GB2312"/>
          <w:bCs/>
          <w:sz w:val="24"/>
        </w:rPr>
        <w:t>。/【“基准利率”+“基本利差”。其中，“基准利率”系指“人民银行”授权的机构（在“信托生效日”为“同业拆借中心”）发布的【】年期贷款市场报价利率（LPR）。其中，第一个“计息期间”的“基准利率”为【】年【】月发布的【】贷款市场报价利率（LPR）。“基准利率”将于基准利率调整日进行调整，基准利率调整日为“信托生效日”后每年的</w:t>
      </w:r>
      <w:r>
        <w:rPr>
          <w:rFonts w:eastAsia="楷体_GB2312"/>
          <w:sz w:val="24"/>
        </w:rPr>
        <w:t>【】</w:t>
      </w:r>
      <w:r>
        <w:rPr>
          <w:rFonts w:eastAsia="楷体_GB2312"/>
          <w:bCs/>
          <w:sz w:val="24"/>
        </w:rPr>
        <w:t>月</w:t>
      </w:r>
      <w:r>
        <w:rPr>
          <w:rFonts w:eastAsia="楷体_GB2312"/>
          <w:sz w:val="24"/>
        </w:rPr>
        <w:t>【】</w:t>
      </w:r>
      <w:r>
        <w:rPr>
          <w:rFonts w:eastAsia="楷体_GB2312"/>
          <w:bCs/>
          <w:sz w:val="24"/>
        </w:rPr>
        <w:t>日，其中第一个基准利率调整日为【】年</w:t>
      </w:r>
      <w:r>
        <w:rPr>
          <w:rFonts w:eastAsia="楷体_GB2312"/>
          <w:sz w:val="24"/>
        </w:rPr>
        <w:t>【】</w:t>
      </w:r>
      <w:r>
        <w:rPr>
          <w:rFonts w:eastAsia="楷体_GB2312"/>
          <w:bCs/>
          <w:sz w:val="24"/>
        </w:rPr>
        <w:t>月</w:t>
      </w:r>
      <w:r>
        <w:rPr>
          <w:rFonts w:eastAsia="楷体_GB2312"/>
          <w:sz w:val="24"/>
        </w:rPr>
        <w:t>【】</w:t>
      </w:r>
      <w:r>
        <w:rPr>
          <w:rFonts w:eastAsia="楷体_GB2312"/>
          <w:bCs/>
          <w:sz w:val="24"/>
        </w:rPr>
        <w:t>日，“基准利率”于基准利率调整日调整为基准利率调整日前一个月发布的【】年期贷款市场报价利率。若“人民银行”后续要求按照新的定价基准调整【】年期存量浮动利率贷款的利率，或允许商业银行自行确定【】年期存量浮动利率贷款的定价基准的，则基准利率采用届时“【发起机构简称】【】年期存量浮动利率贷款适用的定价基准，基准利率调整日为新定价基准实施后每年的【】月【】日，“基准利率”于基准利率调整日调整为基准利率调整日前一个月“【发起机构简称】”【】年期存量浮动利率贷款适用的定价基准。】</w:t>
      </w:r>
    </w:p>
    <w:p w14:paraId="17B3E1D9">
      <w:pPr>
        <w:tabs>
          <w:tab w:val="left" w:pos="2160"/>
        </w:tabs>
        <w:spacing w:line="380" w:lineRule="atLeast"/>
        <w:ind w:left="1080"/>
        <w:rPr>
          <w:rFonts w:eastAsia="楷体_GB2312"/>
          <w:sz w:val="24"/>
        </w:rPr>
      </w:pPr>
    </w:p>
    <w:p w14:paraId="6AEC0F28">
      <w:pPr>
        <w:numPr>
          <w:ilvl w:val="2"/>
          <w:numId w:val="4"/>
        </w:numPr>
        <w:tabs>
          <w:tab w:val="left" w:pos="900"/>
        </w:tabs>
        <w:spacing w:line="380" w:lineRule="atLeast"/>
        <w:ind w:left="1620" w:hanging="769"/>
        <w:rPr>
          <w:rFonts w:eastAsia="楷体_GB2312"/>
          <w:sz w:val="24"/>
        </w:rPr>
      </w:pPr>
      <w:r>
        <w:rPr>
          <w:rFonts w:eastAsia="楷体_GB2312"/>
          <w:sz w:val="24"/>
        </w:rPr>
        <w:t>计息期间：自一个“计息日”（含该日）到下一个“计息日”（不含该日）的期间。但第一个“计息期间”指“起息日”（含该日）开始并于第一个“计息日”（不含该日）结束。</w:t>
      </w:r>
    </w:p>
    <w:p w14:paraId="7D0E5CC0">
      <w:pPr>
        <w:tabs>
          <w:tab w:val="left" w:pos="2160"/>
        </w:tabs>
        <w:spacing w:line="380" w:lineRule="atLeast"/>
        <w:ind w:left="1080"/>
        <w:rPr>
          <w:rFonts w:eastAsia="楷体_GB2312"/>
          <w:sz w:val="24"/>
        </w:rPr>
      </w:pPr>
    </w:p>
    <w:p w14:paraId="2B092F42">
      <w:pPr>
        <w:numPr>
          <w:ilvl w:val="2"/>
          <w:numId w:val="4"/>
        </w:numPr>
        <w:tabs>
          <w:tab w:val="left" w:pos="900"/>
        </w:tabs>
        <w:spacing w:line="380" w:lineRule="atLeast"/>
        <w:ind w:left="1620" w:hanging="769"/>
        <w:rPr>
          <w:rFonts w:eastAsia="楷体_GB2312"/>
          <w:sz w:val="24"/>
        </w:rPr>
      </w:pPr>
      <w:r>
        <w:rPr>
          <w:rFonts w:eastAsia="楷体_GB2312"/>
          <w:sz w:val="24"/>
        </w:rPr>
        <w:t>计息方式：“优先B档资产支持证券”在前一个“支付日”本金兑付完毕之后的“未偿本金余额”（就第一个“支付日”而言，即“优先B档资产支持证券”在“信托生效日”的面值）×票面利率×“计息期间”实际天数÷365；尾数计算到分，分以下四舍五入；单利计息。</w:t>
      </w:r>
    </w:p>
    <w:p w14:paraId="1A66B40C">
      <w:pPr>
        <w:tabs>
          <w:tab w:val="left" w:pos="2160"/>
        </w:tabs>
        <w:spacing w:line="380" w:lineRule="atLeast"/>
        <w:ind w:left="1080"/>
        <w:rPr>
          <w:rFonts w:eastAsia="楷体_GB2312"/>
          <w:sz w:val="24"/>
        </w:rPr>
      </w:pPr>
    </w:p>
    <w:p w14:paraId="7115E542">
      <w:pPr>
        <w:numPr>
          <w:ilvl w:val="2"/>
          <w:numId w:val="4"/>
        </w:numPr>
        <w:tabs>
          <w:tab w:val="left" w:pos="900"/>
        </w:tabs>
        <w:spacing w:line="380" w:lineRule="atLeast"/>
        <w:ind w:left="1620" w:hanging="769"/>
        <w:rPr>
          <w:rFonts w:eastAsia="楷体_GB2312"/>
          <w:sz w:val="24"/>
        </w:rPr>
      </w:pPr>
      <w:r>
        <w:rPr>
          <w:rFonts w:eastAsia="楷体_GB2312"/>
          <w:sz w:val="24"/>
        </w:rPr>
        <w:t>还本付息方式：根据本合同第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条约定的支付顺序进行支付。其中：本金还款金额的计算方式按照本合同约定的</w:t>
      </w:r>
      <w:r>
        <w:rPr>
          <w:rFonts w:eastAsia="楷体_GB2312"/>
          <w:bCs/>
          <w:sz w:val="24"/>
        </w:rPr>
        <w:t>“</w:t>
      </w:r>
      <w:r>
        <w:rPr>
          <w:rFonts w:eastAsia="楷体_GB2312"/>
          <w:sz w:val="24"/>
        </w:rPr>
        <w:t>资产支持证券</w:t>
      </w:r>
      <w:r>
        <w:rPr>
          <w:rFonts w:eastAsia="楷体_GB2312"/>
          <w:bCs/>
          <w:sz w:val="24"/>
        </w:rPr>
        <w:t>”</w:t>
      </w:r>
      <w:r>
        <w:rPr>
          <w:rFonts w:eastAsia="楷体_GB2312"/>
          <w:sz w:val="24"/>
        </w:rPr>
        <w:t>本金还款金额计算方式（见本合同</w:t>
      </w:r>
      <w:r>
        <w:rPr>
          <w:rFonts w:eastAsia="楷体_GB2312"/>
          <w:i/>
          <w:iCs/>
          <w:sz w:val="24"/>
        </w:rPr>
        <w:t>【</w:t>
      </w:r>
      <w:r>
        <w:rPr>
          <w:rFonts w:eastAsia="楷体_GB2312"/>
          <w:b/>
          <w:i/>
          <w:sz w:val="24"/>
        </w:rPr>
        <w:t>附件五】</w:t>
      </w:r>
      <w:r>
        <w:rPr>
          <w:rFonts w:eastAsia="楷体_GB2312"/>
          <w:sz w:val="24"/>
        </w:rPr>
        <w:t>）进行。</w:t>
      </w:r>
    </w:p>
    <w:p w14:paraId="7008F7F4">
      <w:pPr>
        <w:tabs>
          <w:tab w:val="left" w:pos="2160"/>
        </w:tabs>
        <w:spacing w:line="380" w:lineRule="atLeast"/>
        <w:ind w:left="1080"/>
        <w:rPr>
          <w:rFonts w:eastAsia="楷体_GB2312"/>
          <w:sz w:val="24"/>
        </w:rPr>
      </w:pPr>
    </w:p>
    <w:p w14:paraId="231D49E6">
      <w:pPr>
        <w:numPr>
          <w:ilvl w:val="2"/>
          <w:numId w:val="4"/>
        </w:numPr>
        <w:tabs>
          <w:tab w:val="left" w:pos="900"/>
        </w:tabs>
        <w:spacing w:line="380" w:lineRule="atLeast"/>
        <w:ind w:left="1620" w:hanging="769"/>
        <w:rPr>
          <w:rFonts w:eastAsia="楷体_GB2312"/>
          <w:sz w:val="24"/>
        </w:rPr>
      </w:pPr>
      <w:r>
        <w:rPr>
          <w:rFonts w:eastAsia="楷体_GB2312"/>
          <w:sz w:val="24"/>
        </w:rPr>
        <w:t>证券形式：采用实名记账方式，由“登记托管机构”统一托管。</w:t>
      </w:r>
    </w:p>
    <w:p w14:paraId="35A8B294">
      <w:pPr>
        <w:tabs>
          <w:tab w:val="left" w:pos="2160"/>
        </w:tabs>
        <w:spacing w:line="380" w:lineRule="atLeast"/>
        <w:rPr>
          <w:rFonts w:eastAsia="楷体_GB2312"/>
          <w:sz w:val="24"/>
        </w:rPr>
      </w:pPr>
    </w:p>
    <w:p w14:paraId="23D7B02F">
      <w:pPr>
        <w:numPr>
          <w:ilvl w:val="2"/>
          <w:numId w:val="4"/>
        </w:numPr>
        <w:tabs>
          <w:tab w:val="left" w:pos="900"/>
        </w:tabs>
        <w:spacing w:line="380" w:lineRule="atLeast"/>
        <w:ind w:left="1620" w:hanging="769"/>
        <w:rPr>
          <w:rFonts w:eastAsia="楷体_GB2312"/>
          <w:sz w:val="24"/>
        </w:rPr>
      </w:pPr>
      <w:r>
        <w:rPr>
          <w:rFonts w:eastAsia="楷体_GB2312"/>
          <w:sz w:val="24"/>
        </w:rPr>
        <w:t>税收：有关“优先B档资产支持证券”本金和利息的所有付款，如须依照适用的“中国法律”预提或扣除任何税收、规费或任何性质的政府收费，则“受托人”无需就该等预提或扣除支付任何额外的款项。</w:t>
      </w:r>
    </w:p>
    <w:p w14:paraId="248EBB71">
      <w:pPr>
        <w:tabs>
          <w:tab w:val="left" w:pos="2160"/>
        </w:tabs>
        <w:spacing w:line="380" w:lineRule="atLeast"/>
        <w:ind w:left="1080"/>
        <w:rPr>
          <w:rFonts w:eastAsia="楷体_GB2312"/>
          <w:sz w:val="24"/>
        </w:rPr>
      </w:pPr>
    </w:p>
    <w:p w14:paraId="12B992A7">
      <w:pPr>
        <w:numPr>
          <w:ilvl w:val="2"/>
          <w:numId w:val="4"/>
        </w:numPr>
        <w:tabs>
          <w:tab w:val="left" w:pos="900"/>
        </w:tabs>
        <w:spacing w:line="380" w:lineRule="atLeast"/>
        <w:ind w:left="1620" w:hanging="769"/>
        <w:rPr>
          <w:rFonts w:eastAsia="楷体_GB2312"/>
          <w:sz w:val="24"/>
        </w:rPr>
      </w:pPr>
      <w:r>
        <w:rPr>
          <w:rFonts w:eastAsia="楷体_GB2312"/>
          <w:sz w:val="24"/>
        </w:rPr>
        <w:t>币种：人民币。</w:t>
      </w:r>
    </w:p>
    <w:p w14:paraId="743BD7C6">
      <w:pPr>
        <w:tabs>
          <w:tab w:val="left" w:pos="2160"/>
        </w:tabs>
        <w:spacing w:line="380" w:lineRule="atLeast"/>
        <w:ind w:left="1080"/>
        <w:rPr>
          <w:rFonts w:eastAsia="楷体_GB2312"/>
          <w:sz w:val="24"/>
        </w:rPr>
      </w:pPr>
    </w:p>
    <w:p w14:paraId="36D1AF3B">
      <w:pPr>
        <w:numPr>
          <w:ilvl w:val="2"/>
          <w:numId w:val="4"/>
        </w:numPr>
        <w:tabs>
          <w:tab w:val="left" w:pos="900"/>
        </w:tabs>
        <w:spacing w:line="380" w:lineRule="atLeast"/>
        <w:ind w:left="1620" w:hanging="769"/>
        <w:rPr>
          <w:rFonts w:eastAsia="楷体_GB2312"/>
          <w:sz w:val="24"/>
        </w:rPr>
      </w:pPr>
      <w:r>
        <w:rPr>
          <w:rFonts w:eastAsia="楷体_GB2312"/>
          <w:sz w:val="24"/>
        </w:rPr>
        <w:t>信用级别：在“资产支持证券”发行之日，</w:t>
      </w:r>
      <w:r>
        <w:rPr>
          <w:rFonts w:eastAsia="楷体_GB2312"/>
          <w:bCs/>
          <w:sz w:val="24"/>
        </w:rPr>
        <w:t>“</w:t>
      </w:r>
      <w:r>
        <w:rPr>
          <w:rFonts w:eastAsia="楷体_GB2312"/>
          <w:sz w:val="24"/>
        </w:rPr>
        <w:t>【评级机构1简称】”给予</w:t>
      </w:r>
      <w:r>
        <w:rPr>
          <w:rFonts w:eastAsia="楷体_GB2312"/>
          <w:bCs/>
          <w:sz w:val="24"/>
        </w:rPr>
        <w:t>“</w:t>
      </w:r>
      <w:r>
        <w:rPr>
          <w:rFonts w:eastAsia="楷体_GB2312"/>
          <w:sz w:val="24"/>
        </w:rPr>
        <w:t>优先B档资产支持证券”信用级别为【】</w:t>
      </w:r>
      <w:r>
        <w:rPr>
          <w:rFonts w:eastAsia="楷体_GB2312"/>
          <w:sz w:val="24"/>
          <w:vertAlign w:val="subscript"/>
        </w:rPr>
        <w:t>sf</w:t>
      </w:r>
      <w:r>
        <w:rPr>
          <w:rFonts w:eastAsia="楷体_GB2312"/>
          <w:sz w:val="24"/>
        </w:rPr>
        <w:t>级，</w:t>
      </w:r>
      <w:r>
        <w:rPr>
          <w:rFonts w:eastAsia="楷体_GB2312"/>
          <w:bCs/>
          <w:sz w:val="24"/>
        </w:rPr>
        <w:t>“</w:t>
      </w:r>
      <w:r>
        <w:rPr>
          <w:rFonts w:eastAsia="楷体_GB2312"/>
          <w:sz w:val="24"/>
        </w:rPr>
        <w:t>【评级机构2简称】”给予</w:t>
      </w:r>
      <w:r>
        <w:rPr>
          <w:rFonts w:eastAsia="楷体_GB2312"/>
          <w:bCs/>
          <w:sz w:val="24"/>
        </w:rPr>
        <w:t>“</w:t>
      </w:r>
      <w:r>
        <w:rPr>
          <w:rFonts w:eastAsia="楷体_GB2312"/>
          <w:sz w:val="24"/>
        </w:rPr>
        <w:t>优先B档资产支持证券”信用级别为【】</w:t>
      </w:r>
      <w:r>
        <w:rPr>
          <w:rFonts w:eastAsia="楷体_GB2312"/>
          <w:sz w:val="24"/>
          <w:vertAlign w:val="subscript"/>
        </w:rPr>
        <w:t>sf</w:t>
      </w:r>
      <w:r>
        <w:rPr>
          <w:rFonts w:eastAsia="楷体_GB2312"/>
          <w:sz w:val="24"/>
        </w:rPr>
        <w:t>级。</w:t>
      </w:r>
    </w:p>
    <w:p w14:paraId="253C3E48">
      <w:pPr>
        <w:spacing w:line="380" w:lineRule="atLeast"/>
        <w:ind w:left="1620" w:hanging="769"/>
        <w:jc w:val="left"/>
        <w:rPr>
          <w:rFonts w:eastAsia="楷体_GB2312"/>
          <w:sz w:val="24"/>
        </w:rPr>
      </w:pPr>
    </w:p>
    <w:p w14:paraId="132E0D73">
      <w:pPr>
        <w:numPr>
          <w:ilvl w:val="1"/>
          <w:numId w:val="4"/>
        </w:numPr>
        <w:tabs>
          <w:tab w:val="left" w:pos="900"/>
        </w:tabs>
        <w:spacing w:line="380" w:lineRule="atLeast"/>
        <w:outlineLvl w:val="1"/>
        <w:rPr>
          <w:rFonts w:eastAsia="楷体_GB2312"/>
          <w:b/>
          <w:sz w:val="24"/>
        </w:rPr>
      </w:pPr>
      <w:r>
        <w:rPr>
          <w:rFonts w:eastAsia="楷体_GB2312"/>
          <w:b/>
          <w:sz w:val="24"/>
        </w:rPr>
        <w:t>次级资产支持证券的基本特征</w:t>
      </w:r>
    </w:p>
    <w:p w14:paraId="68C6BE94">
      <w:pPr>
        <w:spacing w:line="380" w:lineRule="atLeast"/>
        <w:jc w:val="left"/>
        <w:rPr>
          <w:rFonts w:eastAsia="楷体_GB2312"/>
          <w:b/>
          <w:sz w:val="24"/>
        </w:rPr>
      </w:pPr>
    </w:p>
    <w:p w14:paraId="2B8A30BF">
      <w:pPr>
        <w:numPr>
          <w:ilvl w:val="2"/>
          <w:numId w:val="4"/>
        </w:numPr>
        <w:tabs>
          <w:tab w:val="left" w:pos="900"/>
        </w:tabs>
        <w:spacing w:line="380" w:lineRule="atLeast"/>
        <w:rPr>
          <w:rFonts w:eastAsia="楷体_GB2312"/>
          <w:sz w:val="24"/>
        </w:rPr>
      </w:pPr>
      <w:r>
        <w:rPr>
          <w:rFonts w:eastAsia="楷体_GB2312"/>
          <w:bCs/>
          <w:sz w:val="24"/>
        </w:rPr>
        <w:t>“</w:t>
      </w:r>
      <w:r>
        <w:rPr>
          <w:rFonts w:eastAsia="楷体_GB2312"/>
          <w:sz w:val="24"/>
        </w:rPr>
        <w:t>次级资产支持证券”的比例：在“资产支持证券”发行之日，“次级资产支持证券”占全部“资产支持证券”发行总量（面值）的【】%，即“次级资产支持证券”的发行总量（面值）为人民币【】元。</w:t>
      </w:r>
    </w:p>
    <w:p w14:paraId="6F7CE853">
      <w:pPr>
        <w:tabs>
          <w:tab w:val="left" w:pos="2160"/>
        </w:tabs>
        <w:spacing w:line="380" w:lineRule="atLeast"/>
        <w:ind w:left="1080"/>
        <w:rPr>
          <w:rFonts w:eastAsia="楷体_GB2312"/>
          <w:sz w:val="24"/>
        </w:rPr>
      </w:pPr>
    </w:p>
    <w:p w14:paraId="25E9A94C">
      <w:pPr>
        <w:numPr>
          <w:ilvl w:val="2"/>
          <w:numId w:val="4"/>
        </w:numPr>
        <w:tabs>
          <w:tab w:val="left" w:pos="900"/>
        </w:tabs>
        <w:spacing w:line="380" w:lineRule="atLeast"/>
        <w:ind w:left="1620" w:hanging="769"/>
        <w:rPr>
          <w:rFonts w:eastAsia="楷体_GB2312"/>
          <w:sz w:val="24"/>
        </w:rPr>
      </w:pPr>
      <w:r>
        <w:rPr>
          <w:rFonts w:eastAsia="楷体_GB2312"/>
          <w:sz w:val="24"/>
        </w:rPr>
        <w:t>面值：每张</w:t>
      </w:r>
      <w:r>
        <w:rPr>
          <w:rFonts w:eastAsia="楷体_GB2312"/>
          <w:bCs/>
          <w:sz w:val="24"/>
        </w:rPr>
        <w:t>“</w:t>
      </w:r>
      <w:r>
        <w:rPr>
          <w:rFonts w:eastAsia="楷体_GB2312"/>
          <w:sz w:val="24"/>
        </w:rPr>
        <w:t>次级资产支持证券</w:t>
      </w:r>
      <w:r>
        <w:rPr>
          <w:rFonts w:eastAsia="楷体_GB2312"/>
          <w:bCs/>
          <w:sz w:val="24"/>
        </w:rPr>
        <w:t>”</w:t>
      </w:r>
      <w:r>
        <w:rPr>
          <w:rFonts w:eastAsia="楷体_GB2312"/>
          <w:sz w:val="24"/>
        </w:rPr>
        <w:t>的面值为人民币100元。</w:t>
      </w:r>
    </w:p>
    <w:p w14:paraId="101086E1">
      <w:pPr>
        <w:tabs>
          <w:tab w:val="left" w:pos="2160"/>
        </w:tabs>
        <w:spacing w:line="380" w:lineRule="atLeast"/>
        <w:rPr>
          <w:rFonts w:eastAsia="楷体_GB2312"/>
          <w:sz w:val="24"/>
        </w:rPr>
      </w:pPr>
    </w:p>
    <w:p w14:paraId="6513170A">
      <w:pPr>
        <w:numPr>
          <w:ilvl w:val="2"/>
          <w:numId w:val="4"/>
        </w:numPr>
        <w:tabs>
          <w:tab w:val="left" w:pos="900"/>
        </w:tabs>
        <w:spacing w:line="380" w:lineRule="atLeast"/>
        <w:ind w:left="1620" w:hanging="769"/>
        <w:rPr>
          <w:rFonts w:eastAsia="楷体_GB2312"/>
          <w:sz w:val="24"/>
        </w:rPr>
      </w:pPr>
      <w:r>
        <w:rPr>
          <w:rFonts w:eastAsia="楷体_GB2312"/>
          <w:sz w:val="24"/>
        </w:rPr>
        <w:t>发行价格：按面值发行。</w:t>
      </w:r>
    </w:p>
    <w:p w14:paraId="2867C868">
      <w:pPr>
        <w:tabs>
          <w:tab w:val="left" w:pos="1571"/>
        </w:tabs>
        <w:spacing w:line="380" w:lineRule="atLeast"/>
        <w:ind w:left="851"/>
        <w:rPr>
          <w:rFonts w:eastAsia="楷体_GB2312"/>
          <w:sz w:val="24"/>
        </w:rPr>
      </w:pPr>
    </w:p>
    <w:p w14:paraId="307FF53B">
      <w:pPr>
        <w:numPr>
          <w:ilvl w:val="2"/>
          <w:numId w:val="4"/>
        </w:numPr>
        <w:tabs>
          <w:tab w:val="left" w:pos="900"/>
        </w:tabs>
        <w:spacing w:line="380" w:lineRule="atLeast"/>
        <w:ind w:left="1620" w:hanging="769"/>
        <w:rPr>
          <w:rFonts w:eastAsia="楷体_GB2312"/>
          <w:sz w:val="24"/>
        </w:rPr>
      </w:pPr>
      <w:r>
        <w:rPr>
          <w:rFonts w:eastAsia="楷体_GB2312"/>
          <w:sz w:val="24"/>
        </w:rPr>
        <w:t>期限：自“信托生效日”（含该日）至“法定到期日”（不含该日）止。“法定到期日”并不是</w:t>
      </w:r>
      <w:r>
        <w:rPr>
          <w:rFonts w:eastAsia="楷体_GB2312"/>
          <w:bCs/>
          <w:sz w:val="24"/>
        </w:rPr>
        <w:t>“</w:t>
      </w:r>
      <w:r>
        <w:rPr>
          <w:rFonts w:eastAsia="楷体_GB2312"/>
          <w:sz w:val="24"/>
        </w:rPr>
        <w:t>次级资产支持证券</w:t>
      </w:r>
      <w:r>
        <w:rPr>
          <w:rFonts w:eastAsia="楷体_GB2312"/>
          <w:bCs/>
          <w:sz w:val="24"/>
        </w:rPr>
        <w:t>”</w:t>
      </w:r>
      <w:r>
        <w:rPr>
          <w:rFonts w:eastAsia="楷体_GB2312"/>
          <w:sz w:val="24"/>
        </w:rPr>
        <w:t>的实际到期日，“次级资产支持证券</w:t>
      </w:r>
      <w:r>
        <w:rPr>
          <w:rFonts w:eastAsia="楷体_GB2312"/>
          <w:bCs/>
          <w:sz w:val="24"/>
        </w:rPr>
        <w:t>”</w:t>
      </w:r>
      <w:r>
        <w:rPr>
          <w:rFonts w:eastAsia="楷体_GB2312"/>
          <w:sz w:val="24"/>
        </w:rPr>
        <w:t>的本金将可能于“法定到期日”前清偿完毕。</w:t>
      </w:r>
    </w:p>
    <w:p w14:paraId="37EF9BCC">
      <w:pPr>
        <w:tabs>
          <w:tab w:val="left" w:pos="2160"/>
        </w:tabs>
        <w:spacing w:line="380" w:lineRule="atLeast"/>
        <w:rPr>
          <w:rFonts w:eastAsia="楷体_GB2312"/>
          <w:color w:val="000000"/>
          <w:w w:val="0"/>
          <w:sz w:val="24"/>
        </w:rPr>
      </w:pPr>
    </w:p>
    <w:p w14:paraId="7E389FE5">
      <w:pPr>
        <w:numPr>
          <w:ilvl w:val="2"/>
          <w:numId w:val="4"/>
        </w:numPr>
        <w:tabs>
          <w:tab w:val="left" w:pos="900"/>
        </w:tabs>
        <w:spacing w:line="380" w:lineRule="atLeast"/>
        <w:ind w:left="1620" w:hanging="769"/>
        <w:rPr>
          <w:rFonts w:eastAsia="楷体_GB2312"/>
          <w:color w:val="000000"/>
          <w:w w:val="0"/>
          <w:sz w:val="24"/>
        </w:rPr>
      </w:pPr>
      <w:r>
        <w:rPr>
          <w:rFonts w:eastAsia="楷体_GB2312"/>
          <w:w w:val="0"/>
          <w:sz w:val="24"/>
        </w:rPr>
        <w:t>法定到期日：</w:t>
      </w:r>
      <w:r>
        <w:rPr>
          <w:rFonts w:eastAsia="楷体_GB2312"/>
          <w:sz w:val="24"/>
        </w:rPr>
        <w:t>【】年【】月【】日</w:t>
      </w:r>
      <w:r>
        <w:rPr>
          <w:rFonts w:eastAsia="楷体_GB2312"/>
          <w:w w:val="0"/>
          <w:sz w:val="24"/>
        </w:rPr>
        <w:t>。</w:t>
      </w:r>
    </w:p>
    <w:p w14:paraId="5D5B1CA2">
      <w:pPr>
        <w:tabs>
          <w:tab w:val="left" w:pos="900"/>
        </w:tabs>
        <w:spacing w:line="380" w:lineRule="atLeast"/>
        <w:ind w:left="1620"/>
        <w:rPr>
          <w:rFonts w:eastAsia="楷体_GB2312"/>
          <w:sz w:val="24"/>
        </w:rPr>
      </w:pPr>
    </w:p>
    <w:p w14:paraId="0B666A37">
      <w:pPr>
        <w:numPr>
          <w:ilvl w:val="2"/>
          <w:numId w:val="4"/>
        </w:numPr>
        <w:tabs>
          <w:tab w:val="left" w:pos="900"/>
        </w:tabs>
        <w:spacing w:line="380" w:lineRule="atLeast"/>
        <w:ind w:left="1620" w:hanging="769"/>
        <w:rPr>
          <w:rFonts w:eastAsia="楷体_GB2312"/>
          <w:sz w:val="24"/>
        </w:rPr>
      </w:pPr>
      <w:r>
        <w:rPr>
          <w:rFonts w:eastAsia="楷体_GB2312"/>
          <w:sz w:val="24"/>
        </w:rPr>
        <w:t>票面利率：无票面利率。</w:t>
      </w:r>
    </w:p>
    <w:p w14:paraId="73058104">
      <w:pPr>
        <w:tabs>
          <w:tab w:val="left" w:pos="425"/>
          <w:tab w:val="left" w:pos="900"/>
          <w:tab w:val="left" w:pos="1571"/>
        </w:tabs>
        <w:spacing w:line="380" w:lineRule="atLeast"/>
        <w:ind w:left="1620"/>
        <w:rPr>
          <w:rFonts w:eastAsia="楷体_GB2312"/>
          <w:sz w:val="24"/>
        </w:rPr>
      </w:pPr>
    </w:p>
    <w:p w14:paraId="353369C5">
      <w:pPr>
        <w:numPr>
          <w:ilvl w:val="2"/>
          <w:numId w:val="4"/>
        </w:numPr>
        <w:tabs>
          <w:tab w:val="left" w:pos="900"/>
        </w:tabs>
        <w:spacing w:line="380" w:lineRule="atLeast"/>
        <w:ind w:left="1620" w:hanging="769"/>
        <w:rPr>
          <w:rFonts w:eastAsia="楷体_GB2312"/>
          <w:sz w:val="24"/>
        </w:rPr>
      </w:pPr>
      <w:r>
        <w:rPr>
          <w:rFonts w:eastAsia="楷体_GB2312"/>
          <w:sz w:val="24"/>
        </w:rPr>
        <w:t>次级期间收益及其计算方式：</w:t>
      </w:r>
      <w:r>
        <w:rPr>
          <w:rFonts w:hint="eastAsia" w:eastAsia="楷体_GB2312"/>
          <w:b/>
          <w:bCs/>
          <w:i/>
          <w:iCs/>
          <w:color w:val="FF0000"/>
          <w:sz w:val="24"/>
        </w:rPr>
        <w:t>【注：可结合项目需要补充次级的期间收益计算方式（如需）】。</w:t>
      </w:r>
    </w:p>
    <w:p w14:paraId="106D7306">
      <w:pPr>
        <w:tabs>
          <w:tab w:val="left" w:pos="900"/>
        </w:tabs>
        <w:spacing w:line="380" w:lineRule="atLeast"/>
        <w:ind w:left="1620"/>
        <w:rPr>
          <w:rFonts w:eastAsia="楷体_GB2312"/>
          <w:sz w:val="24"/>
        </w:rPr>
      </w:pPr>
    </w:p>
    <w:p w14:paraId="51E27975">
      <w:pPr>
        <w:numPr>
          <w:ilvl w:val="2"/>
          <w:numId w:val="4"/>
        </w:numPr>
        <w:tabs>
          <w:tab w:val="left" w:pos="900"/>
        </w:tabs>
        <w:spacing w:line="380" w:lineRule="atLeast"/>
        <w:ind w:left="1620" w:hanging="769"/>
        <w:rPr>
          <w:rFonts w:eastAsia="楷体_GB2312"/>
          <w:sz w:val="24"/>
        </w:rPr>
      </w:pPr>
      <w:r>
        <w:rPr>
          <w:rFonts w:eastAsia="楷体_GB2312"/>
          <w:sz w:val="24"/>
        </w:rPr>
        <w:t>计息期间：自一个“计息日”（含该日）到下一个“计息日”（不含该日）的期间。但第一个“计息期间”指“起息日”（含该日）开始并于第一个“计息日”（不含该日）结束。</w:t>
      </w:r>
    </w:p>
    <w:p w14:paraId="785A53E5">
      <w:pPr>
        <w:tabs>
          <w:tab w:val="left" w:pos="2160"/>
        </w:tabs>
        <w:spacing w:line="380" w:lineRule="atLeast"/>
        <w:ind w:left="1080"/>
        <w:rPr>
          <w:rFonts w:eastAsia="楷体_GB2312"/>
          <w:sz w:val="24"/>
        </w:rPr>
      </w:pPr>
    </w:p>
    <w:p w14:paraId="3C516297">
      <w:pPr>
        <w:numPr>
          <w:ilvl w:val="2"/>
          <w:numId w:val="4"/>
        </w:numPr>
        <w:tabs>
          <w:tab w:val="left" w:pos="900"/>
        </w:tabs>
        <w:spacing w:line="380" w:lineRule="atLeast"/>
        <w:ind w:left="1620" w:hanging="769"/>
        <w:rPr>
          <w:rFonts w:eastAsia="楷体_GB2312"/>
          <w:sz w:val="24"/>
        </w:rPr>
      </w:pPr>
      <w:r>
        <w:rPr>
          <w:rFonts w:eastAsia="楷体_GB2312"/>
          <w:sz w:val="24"/>
        </w:rPr>
        <w:t>本金及收益支付方式：根据本合同第</w:t>
      </w:r>
      <w:r>
        <w:rPr>
          <w:rFonts w:eastAsia="楷体_GB2312"/>
          <w:sz w:val="24"/>
          <w:szCs w:val="32"/>
        </w:rPr>
        <w:fldChar w:fldCharType="begin"/>
      </w:r>
      <w:r>
        <w:rPr>
          <w:rFonts w:eastAsia="楷体_GB2312"/>
          <w:sz w:val="24"/>
          <w:szCs w:val="32"/>
        </w:rPr>
        <w:instrText xml:space="preserve"> REF _Ref169088813 \r \h  \* MERGEFORMAT </w:instrText>
      </w:r>
      <w:r>
        <w:rPr>
          <w:rFonts w:eastAsia="楷体_GB2312"/>
          <w:sz w:val="24"/>
          <w:szCs w:val="32"/>
        </w:rPr>
        <w:fldChar w:fldCharType="separate"/>
      </w:r>
      <w:r>
        <w:rPr>
          <w:rFonts w:eastAsia="楷体_GB2312"/>
          <w:sz w:val="24"/>
          <w:szCs w:val="32"/>
        </w:rPr>
        <w:t>10</w:t>
      </w:r>
      <w:r>
        <w:rPr>
          <w:rFonts w:eastAsia="楷体_GB2312"/>
          <w:sz w:val="24"/>
          <w:szCs w:val="32"/>
        </w:rPr>
        <w:fldChar w:fldCharType="end"/>
      </w:r>
      <w:r>
        <w:rPr>
          <w:rFonts w:eastAsia="楷体_GB2312"/>
          <w:sz w:val="24"/>
        </w:rPr>
        <w:t>条约定的支付顺序进行支付。其中：本金还款金额的计算方式按照本合同约定的“资产支持证券”本金还款金额计算方式（见本合同</w:t>
      </w:r>
      <w:r>
        <w:rPr>
          <w:rFonts w:eastAsia="楷体_GB2312"/>
          <w:i/>
          <w:iCs/>
          <w:sz w:val="24"/>
        </w:rPr>
        <w:t>【</w:t>
      </w:r>
      <w:r>
        <w:rPr>
          <w:rFonts w:eastAsia="楷体_GB2312"/>
          <w:b/>
          <w:i/>
          <w:sz w:val="24"/>
        </w:rPr>
        <w:t>附件五】</w:t>
      </w:r>
      <w:r>
        <w:rPr>
          <w:rFonts w:eastAsia="楷体_GB2312"/>
          <w:sz w:val="24"/>
        </w:rPr>
        <w:t>）进行。</w:t>
      </w:r>
    </w:p>
    <w:p w14:paraId="19401200">
      <w:pPr>
        <w:tabs>
          <w:tab w:val="left" w:pos="2160"/>
        </w:tabs>
        <w:spacing w:line="380" w:lineRule="atLeast"/>
        <w:ind w:left="1080"/>
        <w:rPr>
          <w:rFonts w:eastAsia="楷体_GB2312"/>
          <w:sz w:val="24"/>
        </w:rPr>
      </w:pPr>
    </w:p>
    <w:p w14:paraId="49FF46FE">
      <w:pPr>
        <w:numPr>
          <w:ilvl w:val="2"/>
          <w:numId w:val="4"/>
        </w:numPr>
        <w:tabs>
          <w:tab w:val="left" w:pos="900"/>
        </w:tabs>
        <w:spacing w:line="380" w:lineRule="atLeast"/>
        <w:ind w:left="1620" w:hanging="769"/>
        <w:rPr>
          <w:rFonts w:eastAsia="楷体_GB2312"/>
          <w:sz w:val="24"/>
        </w:rPr>
      </w:pPr>
      <w:r>
        <w:rPr>
          <w:rFonts w:eastAsia="楷体_GB2312"/>
          <w:sz w:val="24"/>
        </w:rPr>
        <w:t>证券形式：采用实名记账方式，由“登记托管机构”统一托管。</w:t>
      </w:r>
    </w:p>
    <w:p w14:paraId="61535291">
      <w:pPr>
        <w:tabs>
          <w:tab w:val="left" w:pos="2160"/>
        </w:tabs>
        <w:spacing w:line="380" w:lineRule="atLeast"/>
        <w:rPr>
          <w:rFonts w:eastAsia="楷体_GB2312"/>
          <w:sz w:val="24"/>
        </w:rPr>
      </w:pPr>
    </w:p>
    <w:p w14:paraId="54936BC7">
      <w:pPr>
        <w:numPr>
          <w:ilvl w:val="2"/>
          <w:numId w:val="4"/>
        </w:numPr>
        <w:tabs>
          <w:tab w:val="left" w:pos="900"/>
        </w:tabs>
        <w:spacing w:line="380" w:lineRule="atLeast"/>
        <w:ind w:left="1620" w:hanging="769"/>
        <w:rPr>
          <w:rFonts w:eastAsia="楷体_GB2312"/>
          <w:sz w:val="24"/>
        </w:rPr>
      </w:pPr>
      <w:r>
        <w:rPr>
          <w:rFonts w:eastAsia="楷体_GB2312"/>
          <w:sz w:val="24"/>
        </w:rPr>
        <w:t>税收：有关“次级资产支持证券”本金和收益的所有付款，如须依照适用的“中国法律”预提或扣除任何税收、规费或任何性质的政府收费，则“受托人”无需就该等预提或扣除支付任何额外的款项。</w:t>
      </w:r>
    </w:p>
    <w:p w14:paraId="369A88BC">
      <w:pPr>
        <w:tabs>
          <w:tab w:val="left" w:pos="2160"/>
        </w:tabs>
        <w:spacing w:line="380" w:lineRule="atLeast"/>
        <w:ind w:left="1080"/>
        <w:rPr>
          <w:rFonts w:eastAsia="楷体_GB2312"/>
          <w:sz w:val="24"/>
        </w:rPr>
      </w:pPr>
    </w:p>
    <w:p w14:paraId="617C6D29">
      <w:pPr>
        <w:numPr>
          <w:ilvl w:val="2"/>
          <w:numId w:val="4"/>
        </w:numPr>
        <w:tabs>
          <w:tab w:val="left" w:pos="900"/>
        </w:tabs>
        <w:spacing w:line="380" w:lineRule="atLeast"/>
        <w:ind w:left="1620" w:hanging="769"/>
        <w:rPr>
          <w:rFonts w:eastAsia="楷体_GB2312"/>
          <w:sz w:val="24"/>
        </w:rPr>
      </w:pPr>
      <w:r>
        <w:rPr>
          <w:rFonts w:eastAsia="楷体_GB2312"/>
          <w:sz w:val="24"/>
        </w:rPr>
        <w:t>币种：人民币。</w:t>
      </w:r>
    </w:p>
    <w:p w14:paraId="7D74A811">
      <w:pPr>
        <w:tabs>
          <w:tab w:val="left" w:pos="2160"/>
        </w:tabs>
        <w:spacing w:line="380" w:lineRule="atLeast"/>
        <w:ind w:left="1080"/>
        <w:rPr>
          <w:rFonts w:eastAsia="楷体_GB2312"/>
          <w:sz w:val="24"/>
        </w:rPr>
      </w:pPr>
    </w:p>
    <w:p w14:paraId="7F607CC6">
      <w:pPr>
        <w:numPr>
          <w:ilvl w:val="2"/>
          <w:numId w:val="4"/>
        </w:numPr>
        <w:tabs>
          <w:tab w:val="left" w:pos="900"/>
        </w:tabs>
        <w:spacing w:line="380" w:lineRule="atLeast"/>
        <w:ind w:left="1620" w:hanging="769"/>
        <w:rPr>
          <w:rFonts w:eastAsia="楷体_GB2312"/>
          <w:sz w:val="24"/>
        </w:rPr>
      </w:pPr>
      <w:r>
        <w:rPr>
          <w:rFonts w:eastAsia="楷体_GB2312"/>
          <w:sz w:val="24"/>
        </w:rPr>
        <w:t>信用级别：</w:t>
      </w:r>
      <w:r>
        <w:rPr>
          <w:rFonts w:eastAsia="楷体_GB2312"/>
          <w:bCs/>
          <w:sz w:val="24"/>
        </w:rPr>
        <w:t>“</w:t>
      </w:r>
      <w:r>
        <w:rPr>
          <w:rFonts w:eastAsia="楷体_GB2312"/>
          <w:sz w:val="24"/>
        </w:rPr>
        <w:t>次级资产支持证券</w:t>
      </w:r>
      <w:r>
        <w:rPr>
          <w:rFonts w:eastAsia="楷体_GB2312"/>
          <w:bCs/>
          <w:sz w:val="24"/>
        </w:rPr>
        <w:t>”</w:t>
      </w:r>
      <w:r>
        <w:rPr>
          <w:rFonts w:eastAsia="楷体_GB2312"/>
          <w:sz w:val="24"/>
        </w:rPr>
        <w:t>不作评级。</w:t>
      </w:r>
    </w:p>
    <w:p w14:paraId="339FA7A6">
      <w:pPr>
        <w:spacing w:line="380" w:lineRule="atLeast"/>
        <w:jc w:val="left"/>
        <w:rPr>
          <w:rFonts w:eastAsia="楷体_GB2312"/>
          <w:sz w:val="24"/>
        </w:rPr>
      </w:pPr>
    </w:p>
    <w:p w14:paraId="0EEF5E8E">
      <w:pPr>
        <w:numPr>
          <w:ilvl w:val="1"/>
          <w:numId w:val="4"/>
        </w:numPr>
        <w:tabs>
          <w:tab w:val="left" w:pos="900"/>
        </w:tabs>
        <w:spacing w:line="380" w:lineRule="atLeast"/>
        <w:outlineLvl w:val="1"/>
        <w:rPr>
          <w:rFonts w:eastAsia="楷体_GB2312"/>
          <w:b/>
          <w:sz w:val="24"/>
        </w:rPr>
      </w:pPr>
      <w:bookmarkStart w:id="233" w:name="_Toc106417380"/>
      <w:bookmarkEnd w:id="233"/>
      <w:bookmarkStart w:id="234" w:name="_Toc111281792"/>
      <w:bookmarkStart w:id="235" w:name="_Toc110153441"/>
      <w:bookmarkStart w:id="236" w:name="_Toc92612929"/>
      <w:r>
        <w:rPr>
          <w:rFonts w:eastAsia="楷体_GB2312"/>
          <w:b/>
          <w:bCs/>
          <w:sz w:val="24"/>
        </w:rPr>
        <w:t>资产支持证券</w:t>
      </w:r>
      <w:r>
        <w:rPr>
          <w:rFonts w:eastAsia="楷体_GB2312"/>
          <w:b/>
          <w:sz w:val="24"/>
        </w:rPr>
        <w:t>的发行、承销、登记、交易和结算</w:t>
      </w:r>
      <w:bookmarkEnd w:id="234"/>
      <w:bookmarkEnd w:id="235"/>
    </w:p>
    <w:bookmarkEnd w:id="236"/>
    <w:p w14:paraId="100B197F">
      <w:pPr>
        <w:spacing w:line="380" w:lineRule="atLeast"/>
        <w:rPr>
          <w:rFonts w:eastAsia="楷体_GB2312"/>
          <w:b/>
          <w:sz w:val="24"/>
        </w:rPr>
      </w:pPr>
    </w:p>
    <w:p w14:paraId="14DDE18D">
      <w:pPr>
        <w:numPr>
          <w:ilvl w:val="2"/>
          <w:numId w:val="4"/>
        </w:numPr>
        <w:tabs>
          <w:tab w:val="left" w:pos="900"/>
        </w:tabs>
        <w:spacing w:line="380" w:lineRule="atLeast"/>
        <w:ind w:left="1620" w:hanging="769"/>
        <w:rPr>
          <w:rFonts w:eastAsia="楷体_GB2312"/>
          <w:b/>
          <w:sz w:val="24"/>
        </w:rPr>
      </w:pPr>
      <w:r>
        <w:rPr>
          <w:rFonts w:eastAsia="楷体_GB2312"/>
          <w:b/>
          <w:bCs/>
          <w:sz w:val="24"/>
        </w:rPr>
        <w:t>资产</w:t>
      </w:r>
      <w:r>
        <w:rPr>
          <w:rFonts w:eastAsia="楷体_GB2312"/>
          <w:b/>
          <w:sz w:val="24"/>
        </w:rPr>
        <w:t>支持</w:t>
      </w:r>
      <w:r>
        <w:rPr>
          <w:rFonts w:eastAsia="楷体_GB2312"/>
          <w:b/>
          <w:bCs/>
          <w:sz w:val="24"/>
        </w:rPr>
        <w:t>证券</w:t>
      </w:r>
      <w:r>
        <w:rPr>
          <w:rFonts w:eastAsia="楷体_GB2312"/>
          <w:b/>
          <w:sz w:val="24"/>
        </w:rPr>
        <w:t>的发行</w:t>
      </w:r>
    </w:p>
    <w:p w14:paraId="1F228B7B">
      <w:pPr>
        <w:tabs>
          <w:tab w:val="left" w:pos="425"/>
          <w:tab w:val="left" w:pos="1985"/>
          <w:tab w:val="left" w:pos="2073"/>
        </w:tabs>
        <w:spacing w:line="380" w:lineRule="exact"/>
        <w:ind w:left="1701"/>
        <w:rPr>
          <w:rFonts w:eastAsia="楷体_GB2312"/>
          <w:sz w:val="24"/>
        </w:rPr>
      </w:pPr>
    </w:p>
    <w:p w14:paraId="0B4DBC70">
      <w:pPr>
        <w:pStyle w:val="78"/>
        <w:numPr>
          <w:ilvl w:val="0"/>
          <w:numId w:val="12"/>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受托人”将向“人民银行”申请向全国银行间债券市场的投资者发行本合同项下“资产支持证券”。其中“委托人”自持的“资产支持证券”（面值）不低于“资产支持证券”发行总规模的5%，自持的“次级资产支持证券”（面值）不低于“次级资产支持证券”发行总规模的5%。在本次发行，“委托人”自持方式为：【分别自持不低于“优先A档资产支持证券”、“优先B档资产支持证券”及“次级资产支持证券”各档】发行规模的【】%，具体自持金额以“发行文件”公告为准/自持全部“次级资产支持证券”，占“资产支持证券”发行规模的【】%。</w:t>
      </w:r>
    </w:p>
    <w:p w14:paraId="4042C47E">
      <w:pPr>
        <w:tabs>
          <w:tab w:val="left" w:pos="425"/>
          <w:tab w:val="left" w:pos="1985"/>
          <w:tab w:val="left" w:pos="2073"/>
        </w:tabs>
        <w:spacing w:line="380" w:lineRule="exact"/>
        <w:ind w:left="1985"/>
        <w:rPr>
          <w:rFonts w:eastAsia="楷体_GB2312"/>
          <w:b/>
          <w:bCs/>
          <w:i/>
          <w:iCs/>
          <w:color w:val="FF0000"/>
          <w:sz w:val="24"/>
        </w:rPr>
      </w:pPr>
      <w:r>
        <w:rPr>
          <w:rFonts w:eastAsia="楷体_GB2312"/>
          <w:b/>
          <w:bCs/>
          <w:i/>
          <w:iCs/>
          <w:color w:val="FF0000"/>
          <w:sz w:val="24"/>
        </w:rPr>
        <w:t>【注：发起机构自持方式、自持资产支持证券的交付可根据项目具体安排调整。】</w:t>
      </w:r>
    </w:p>
    <w:p w14:paraId="5C78EB44">
      <w:pPr>
        <w:spacing w:line="380" w:lineRule="exact"/>
        <w:ind w:left="1984"/>
        <w:rPr>
          <w:rFonts w:eastAsia="楷体_GB2312"/>
          <w:sz w:val="24"/>
        </w:rPr>
      </w:pPr>
    </w:p>
    <w:p w14:paraId="25E67336">
      <w:pPr>
        <w:pStyle w:val="78"/>
        <w:numPr>
          <w:ilvl w:val="0"/>
          <w:numId w:val="12"/>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在分别获得“银登中心”</w:t>
      </w:r>
      <w:r>
        <w:rPr>
          <w:rFonts w:eastAsia="楷体_GB2312"/>
          <w:sz w:val="24"/>
          <w:lang w:val="en-GB"/>
        </w:rPr>
        <w:t>关于发行本合同项下“资产支持证券”的信息初始</w:t>
      </w:r>
      <w:r>
        <w:rPr>
          <w:rFonts w:eastAsia="楷体_GB2312"/>
          <w:sz w:val="24"/>
        </w:rPr>
        <w:t>登记、“人民银行”关于发行本合同项下“资产支持证券”的备案和/或注册手续后，在遵守本合同和“中国法律”的相关规定前提下，“受托人”以【公开招标/“簿记建档”集中配售】的方式发行本“信托”项下“资产支持证券”（“委托人”持有的“资产支持证券”除外）。</w:t>
      </w:r>
    </w:p>
    <w:p w14:paraId="14DE9A7D">
      <w:pPr>
        <w:spacing w:line="380" w:lineRule="atLeast"/>
        <w:ind w:left="2160"/>
        <w:rPr>
          <w:rFonts w:eastAsia="楷体_GB2312"/>
          <w:sz w:val="24"/>
        </w:rPr>
      </w:pPr>
    </w:p>
    <w:p w14:paraId="3AD965E8">
      <w:pPr>
        <w:pStyle w:val="78"/>
        <w:numPr>
          <w:ilvl w:val="0"/>
          <w:numId w:val="12"/>
        </w:numPr>
        <w:tabs>
          <w:tab w:val="left" w:pos="425"/>
          <w:tab w:val="left" w:pos="900"/>
          <w:tab w:val="left" w:pos="1571"/>
        </w:tabs>
        <w:spacing w:line="380" w:lineRule="atLeast"/>
        <w:ind w:left="2127" w:hanging="426" w:firstLineChars="0"/>
        <w:rPr>
          <w:rFonts w:eastAsia="楷体_GB2312"/>
          <w:b/>
          <w:sz w:val="24"/>
        </w:rPr>
      </w:pPr>
      <w:r>
        <w:rPr>
          <w:rFonts w:eastAsia="楷体_GB2312"/>
          <w:sz w:val="24"/>
        </w:rPr>
        <w:t>“发起机构”应不迟于“信托财产交付日”【</w:t>
      </w:r>
      <w:r>
        <w:rPr>
          <w:rFonts w:eastAsia="楷体_GB2312"/>
          <w:i/>
          <w:iCs/>
          <w:sz w:val="24"/>
          <w:lang w:val="en-GB"/>
        </w:rPr>
        <w:t>具体时点</w:t>
      </w:r>
      <w:r>
        <w:rPr>
          <w:rFonts w:eastAsia="楷体_GB2312"/>
          <w:sz w:val="24"/>
        </w:rPr>
        <w:t>】将自持的“资产支持证券”的认购款项支付至“受托人”指定的“发行收入缴款账户”。“受托机构”应不迟于“信托财产交付日”按照“登记托管机构”的规则将“发起机构”自持的“资产支持证券”交付给“发起机构”。</w:t>
      </w:r>
    </w:p>
    <w:p w14:paraId="41274D79">
      <w:pPr>
        <w:spacing w:line="360" w:lineRule="auto"/>
        <w:ind w:left="1980" w:firstLine="120"/>
        <w:rPr>
          <w:rFonts w:eastAsia="楷体_GB2312"/>
          <w:b/>
          <w:bCs/>
          <w:i/>
          <w:iCs/>
          <w:color w:val="FF0000"/>
          <w:kern w:val="2"/>
          <w:sz w:val="24"/>
          <w:szCs w:val="24"/>
        </w:rPr>
      </w:pPr>
      <w:r>
        <w:rPr>
          <w:rFonts w:eastAsia="楷体_GB2312"/>
          <w:b/>
          <w:bCs/>
          <w:i/>
          <w:iCs/>
          <w:color w:val="FF0000"/>
          <w:kern w:val="2"/>
          <w:sz w:val="24"/>
          <w:szCs w:val="24"/>
        </w:rPr>
        <w:t>【注：本款仅适用于发起机构以资金认购自持份额的情形。】</w:t>
      </w:r>
    </w:p>
    <w:p w14:paraId="1BD3ECC8">
      <w:pPr>
        <w:pStyle w:val="78"/>
        <w:ind w:firstLine="480"/>
        <w:rPr>
          <w:rFonts w:eastAsia="楷体_GB2312"/>
          <w:sz w:val="24"/>
        </w:rPr>
      </w:pPr>
    </w:p>
    <w:p w14:paraId="2C2F759F">
      <w:pPr>
        <w:pStyle w:val="78"/>
        <w:numPr>
          <w:ilvl w:val="0"/>
          <w:numId w:val="12"/>
        </w:numPr>
        <w:tabs>
          <w:tab w:val="left" w:pos="425"/>
          <w:tab w:val="left" w:pos="900"/>
          <w:tab w:val="left" w:pos="1571"/>
        </w:tabs>
        <w:spacing w:line="380" w:lineRule="atLeast"/>
        <w:ind w:left="2127" w:hanging="426" w:firstLineChars="0"/>
        <w:rPr>
          <w:rFonts w:eastAsia="楷体_GB2312"/>
          <w:b/>
          <w:sz w:val="24"/>
        </w:rPr>
      </w:pPr>
      <w:r>
        <w:rPr>
          <w:rFonts w:eastAsia="楷体_GB2312"/>
          <w:sz w:val="24"/>
        </w:rPr>
        <w:t>“委托人”同意对“受托人”发行“资产支持证券”给予积极协助。</w:t>
      </w:r>
    </w:p>
    <w:p w14:paraId="33C01ABF">
      <w:pPr>
        <w:spacing w:line="380" w:lineRule="atLeast"/>
        <w:ind w:left="2160"/>
        <w:rPr>
          <w:rFonts w:eastAsia="楷体_GB2312"/>
          <w:sz w:val="24"/>
        </w:rPr>
      </w:pPr>
    </w:p>
    <w:p w14:paraId="6BCEDDE3">
      <w:pPr>
        <w:numPr>
          <w:ilvl w:val="2"/>
          <w:numId w:val="4"/>
        </w:numPr>
        <w:tabs>
          <w:tab w:val="left" w:pos="900"/>
        </w:tabs>
        <w:spacing w:line="380" w:lineRule="atLeast"/>
        <w:ind w:left="1620" w:hanging="769"/>
        <w:rPr>
          <w:rFonts w:eastAsia="楷体_GB2312"/>
          <w:b/>
          <w:sz w:val="24"/>
        </w:rPr>
      </w:pPr>
      <w:r>
        <w:rPr>
          <w:rFonts w:eastAsia="楷体_GB2312"/>
          <w:b/>
          <w:sz w:val="24"/>
        </w:rPr>
        <w:t>资产支持</w:t>
      </w:r>
      <w:r>
        <w:rPr>
          <w:rFonts w:eastAsia="楷体_GB2312"/>
          <w:b/>
          <w:bCs/>
          <w:sz w:val="24"/>
        </w:rPr>
        <w:t>证券</w:t>
      </w:r>
      <w:r>
        <w:rPr>
          <w:rFonts w:eastAsia="楷体_GB2312"/>
          <w:b/>
          <w:sz w:val="24"/>
        </w:rPr>
        <w:t>的承销</w:t>
      </w:r>
    </w:p>
    <w:p w14:paraId="7A2338C2">
      <w:pPr>
        <w:spacing w:line="380" w:lineRule="atLeast"/>
        <w:rPr>
          <w:rFonts w:eastAsia="楷体_GB2312"/>
          <w:b/>
          <w:sz w:val="24"/>
        </w:rPr>
      </w:pPr>
    </w:p>
    <w:p w14:paraId="34456EE0">
      <w:pPr>
        <w:pStyle w:val="78"/>
        <w:numPr>
          <w:ilvl w:val="0"/>
          <w:numId w:val="13"/>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“发行人”与“主承销商”、“委托人”签署“《主承销协议》”，委托“主承销商”安排“资产支持证券”（“委托人”持有的“资产支持证券”除外）的发行。</w:t>
      </w:r>
    </w:p>
    <w:p w14:paraId="66BB5FB7">
      <w:pPr>
        <w:spacing w:line="380" w:lineRule="atLeast"/>
        <w:ind w:left="2160"/>
        <w:rPr>
          <w:rFonts w:eastAsia="楷体_GB2312"/>
          <w:sz w:val="24"/>
        </w:rPr>
      </w:pPr>
    </w:p>
    <w:p w14:paraId="3D53CF3D">
      <w:pPr>
        <w:pStyle w:val="78"/>
        <w:numPr>
          <w:ilvl w:val="0"/>
          <w:numId w:val="13"/>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在遵守本合同的前提下，“主承销商”与“承销商”将签署“《承销团协议》”，组建“承销团”对“资产支持证券”（“委托人”持有的“资产支持证券”除外）进行销售。</w:t>
      </w:r>
    </w:p>
    <w:p w14:paraId="5342363E">
      <w:pPr>
        <w:tabs>
          <w:tab w:val="left" w:pos="425"/>
          <w:tab w:val="left" w:pos="1985"/>
          <w:tab w:val="left" w:pos="2073"/>
        </w:tabs>
        <w:spacing w:line="380" w:lineRule="exact"/>
        <w:ind w:left="1701"/>
        <w:rPr>
          <w:rFonts w:eastAsia="楷体_GB2312"/>
          <w:sz w:val="24"/>
        </w:rPr>
      </w:pPr>
    </w:p>
    <w:p w14:paraId="2E27D59F">
      <w:pPr>
        <w:pStyle w:val="78"/>
        <w:numPr>
          <w:ilvl w:val="0"/>
          <w:numId w:val="13"/>
        </w:numPr>
        <w:tabs>
          <w:tab w:val="left" w:pos="425"/>
          <w:tab w:val="left" w:pos="900"/>
          <w:tab w:val="left" w:pos="1571"/>
        </w:tabs>
        <w:spacing w:line="380" w:lineRule="atLeast"/>
        <w:ind w:left="2127" w:hanging="426" w:firstLineChars="0"/>
        <w:rPr>
          <w:rFonts w:eastAsia="楷体_GB2312"/>
          <w:color w:val="000000"/>
          <w:sz w:val="24"/>
          <w:u w:val="single"/>
        </w:rPr>
      </w:pPr>
      <w:r>
        <w:rPr>
          <w:rFonts w:eastAsia="楷体_GB2312"/>
          <w:color w:val="000000"/>
          <w:sz w:val="24"/>
        </w:rPr>
        <w:t>“牵头主承销商”根据“《主承销协议》”将“资产支持证券募集资金”划付至“受托机构”指定的“发行人收款账户”后，“受托机构”应根据“登记托管机构”的规则和程序，向“登记托管机构”提供“资产支持证券”发行款到账确认书及其他相关文件，“登记托管机构”据此办理“资产支持证券”的托管确认手续</w:t>
      </w:r>
      <w:r>
        <w:rPr>
          <w:rFonts w:eastAsia="楷体_GB2312"/>
          <w:color w:val="000000"/>
          <w:sz w:val="24"/>
          <w:u w:val="single"/>
        </w:rPr>
        <w:t>。</w:t>
      </w:r>
    </w:p>
    <w:p w14:paraId="493AFA38">
      <w:pPr>
        <w:spacing w:line="380" w:lineRule="atLeast"/>
        <w:rPr>
          <w:rFonts w:eastAsia="楷体_GB2312"/>
          <w:u w:val="single"/>
        </w:rPr>
      </w:pPr>
    </w:p>
    <w:p w14:paraId="769E1ECA">
      <w:pPr>
        <w:numPr>
          <w:ilvl w:val="2"/>
          <w:numId w:val="4"/>
        </w:numPr>
        <w:tabs>
          <w:tab w:val="left" w:pos="900"/>
        </w:tabs>
        <w:spacing w:line="380" w:lineRule="atLeast"/>
        <w:ind w:left="1620" w:hanging="769"/>
        <w:rPr>
          <w:rFonts w:eastAsia="楷体_GB2312"/>
          <w:sz w:val="24"/>
        </w:rPr>
      </w:pPr>
      <w:r>
        <w:rPr>
          <w:rFonts w:eastAsia="楷体_GB2312"/>
          <w:b/>
          <w:bCs/>
          <w:sz w:val="24"/>
        </w:rPr>
        <w:t>资产支持证券</w:t>
      </w:r>
      <w:r>
        <w:rPr>
          <w:rFonts w:eastAsia="楷体_GB2312"/>
          <w:b/>
          <w:sz w:val="24"/>
        </w:rPr>
        <w:t>的登记、托管</w:t>
      </w:r>
    </w:p>
    <w:p w14:paraId="2B103387">
      <w:pPr>
        <w:spacing w:line="380" w:lineRule="atLeast"/>
        <w:rPr>
          <w:rFonts w:eastAsia="楷体_GB2312"/>
          <w:sz w:val="24"/>
        </w:rPr>
      </w:pPr>
    </w:p>
    <w:p w14:paraId="27959D88">
      <w:pPr>
        <w:pStyle w:val="78"/>
        <w:numPr>
          <w:ilvl w:val="0"/>
          <w:numId w:val="14"/>
        </w:numPr>
        <w:tabs>
          <w:tab w:val="left" w:pos="425"/>
          <w:tab w:val="left" w:pos="900"/>
          <w:tab w:val="left" w:pos="1571"/>
        </w:tabs>
        <w:spacing w:line="380" w:lineRule="atLeast"/>
        <w:ind w:left="2127" w:hanging="426" w:firstLineChars="0"/>
        <w:rPr>
          <w:rFonts w:eastAsia="楷体_GB2312"/>
          <w:color w:val="000000"/>
          <w:sz w:val="24"/>
        </w:rPr>
      </w:pPr>
      <w:r>
        <w:rPr>
          <w:rFonts w:eastAsia="楷体_GB2312"/>
          <w:color w:val="000000"/>
          <w:sz w:val="24"/>
        </w:rPr>
        <w:t>在</w:t>
      </w:r>
      <w:r>
        <w:rPr>
          <w:rFonts w:eastAsia="楷体_GB2312"/>
          <w:sz w:val="24"/>
        </w:rPr>
        <w:t>“信托期限”</w:t>
      </w:r>
      <w:r>
        <w:rPr>
          <w:rFonts w:eastAsia="楷体_GB2312"/>
          <w:color w:val="000000"/>
          <w:sz w:val="24"/>
        </w:rPr>
        <w:t>内，</w:t>
      </w:r>
      <w:r>
        <w:rPr>
          <w:rFonts w:eastAsia="楷体_GB2312"/>
          <w:sz w:val="24"/>
        </w:rPr>
        <w:t>“资产支持证券”</w:t>
      </w:r>
      <w:r>
        <w:rPr>
          <w:rFonts w:eastAsia="楷体_GB2312"/>
          <w:color w:val="000000"/>
          <w:sz w:val="24"/>
        </w:rPr>
        <w:t>应在“登记托管机构”进行登记、托管。</w:t>
      </w:r>
    </w:p>
    <w:p w14:paraId="31C93BEE">
      <w:pPr>
        <w:tabs>
          <w:tab w:val="left" w:pos="1985"/>
        </w:tabs>
        <w:spacing w:line="380" w:lineRule="exact"/>
        <w:ind w:left="1701"/>
        <w:rPr>
          <w:rFonts w:eastAsia="楷体_GB2312"/>
          <w:color w:val="000000"/>
          <w:sz w:val="24"/>
        </w:rPr>
      </w:pPr>
    </w:p>
    <w:p w14:paraId="100CE4EB">
      <w:pPr>
        <w:pStyle w:val="78"/>
        <w:numPr>
          <w:ilvl w:val="0"/>
          <w:numId w:val="14"/>
        </w:numPr>
        <w:tabs>
          <w:tab w:val="left" w:pos="425"/>
          <w:tab w:val="left" w:pos="900"/>
          <w:tab w:val="left" w:pos="1571"/>
        </w:tabs>
        <w:spacing w:line="380" w:lineRule="atLeast"/>
        <w:ind w:left="2127" w:hanging="426" w:firstLineChars="0"/>
        <w:rPr>
          <w:rFonts w:eastAsia="楷体_GB2312"/>
          <w:sz w:val="24"/>
        </w:rPr>
      </w:pPr>
      <w:r>
        <w:rPr>
          <w:rFonts w:eastAsia="楷体_GB2312"/>
          <w:color w:val="000000"/>
          <w:sz w:val="24"/>
        </w:rPr>
        <w:t>以“</w:t>
      </w:r>
      <w:r>
        <w:rPr>
          <w:rFonts w:eastAsia="楷体_GB2312"/>
          <w:sz w:val="24"/>
        </w:rPr>
        <w:t>《主承销协议》</w:t>
      </w:r>
      <w:r>
        <w:rPr>
          <w:rFonts w:eastAsia="楷体_GB2312"/>
          <w:color w:val="000000"/>
          <w:sz w:val="24"/>
        </w:rPr>
        <w:t>”中约定的“优先</w:t>
      </w:r>
      <w:r>
        <w:rPr>
          <w:rFonts w:hint="eastAsia" w:eastAsia="楷体_GB2312"/>
          <w:color w:val="000000"/>
          <w:sz w:val="24"/>
        </w:rPr>
        <w:t>级</w:t>
      </w:r>
      <w:r>
        <w:rPr>
          <w:rFonts w:eastAsia="楷体_GB2312"/>
          <w:color w:val="000000"/>
          <w:sz w:val="24"/>
        </w:rPr>
        <w:t>资产支持证券”和“次级资产支持证券”（“发起机构”自</w:t>
      </w:r>
      <w:r>
        <w:rPr>
          <w:rFonts w:eastAsia="楷体_GB2312"/>
          <w:sz w:val="24"/>
        </w:rPr>
        <w:t>持的“资产支持证券”除外）认购款于“信托生效日”汇入“发行人收款账户”为条件，“受托机构”或其代理人应根据“登记托管机构”的规则和程序，通过“登记托管机构”的系统对“优先</w:t>
      </w:r>
      <w:r>
        <w:rPr>
          <w:rFonts w:hint="eastAsia" w:eastAsia="楷体_GB2312"/>
          <w:sz w:val="24"/>
        </w:rPr>
        <w:t>级</w:t>
      </w:r>
      <w:r>
        <w:rPr>
          <w:rFonts w:eastAsia="楷体_GB2312"/>
          <w:sz w:val="24"/>
        </w:rPr>
        <w:t>资产支持证券”和“次级资产支持证券”进行登记和托管。</w:t>
      </w:r>
    </w:p>
    <w:p w14:paraId="59B6BB79">
      <w:pPr>
        <w:tabs>
          <w:tab w:val="left" w:pos="1985"/>
        </w:tabs>
        <w:spacing w:line="380" w:lineRule="exact"/>
        <w:ind w:left="1701"/>
        <w:rPr>
          <w:rFonts w:eastAsia="楷体_GB2312"/>
          <w:sz w:val="24"/>
        </w:rPr>
      </w:pPr>
    </w:p>
    <w:p w14:paraId="52430253">
      <w:pPr>
        <w:pStyle w:val="78"/>
        <w:numPr>
          <w:ilvl w:val="0"/>
          <w:numId w:val="14"/>
        </w:numPr>
        <w:tabs>
          <w:tab w:val="left" w:pos="425"/>
          <w:tab w:val="left" w:pos="900"/>
          <w:tab w:val="left" w:pos="1571"/>
        </w:tabs>
        <w:spacing w:line="380" w:lineRule="atLeast"/>
        <w:ind w:left="2127" w:hanging="426" w:firstLineChars="0"/>
        <w:rPr>
          <w:rFonts w:eastAsia="楷体_GB2312"/>
          <w:color w:val="000000"/>
          <w:sz w:val="24"/>
        </w:rPr>
      </w:pPr>
      <w:r>
        <w:rPr>
          <w:rFonts w:eastAsia="楷体_GB2312"/>
          <w:sz w:val="24"/>
        </w:rPr>
        <w:t>“受托机构”或其代理人应根据“登记托管机构”的规则和程序，于“信托财产交付日”通过“登记托管机构”的</w:t>
      </w:r>
      <w:r>
        <w:rPr>
          <w:rFonts w:eastAsia="楷体_GB2312"/>
          <w:color w:val="000000"/>
          <w:sz w:val="24"/>
        </w:rPr>
        <w:t>系统向“发起机构”交付“资产支持证券”，由“登记托管机构”对“发起机构”持有的“资产支持证券”进行登记和托管。</w:t>
      </w:r>
    </w:p>
    <w:p w14:paraId="6FBCFD2C">
      <w:pPr>
        <w:tabs>
          <w:tab w:val="left" w:pos="1985"/>
        </w:tabs>
        <w:spacing w:line="380" w:lineRule="exact"/>
        <w:ind w:left="1701"/>
        <w:rPr>
          <w:rFonts w:eastAsia="楷体_GB2312"/>
          <w:color w:val="000000"/>
          <w:sz w:val="24"/>
          <w:u w:val="single"/>
        </w:rPr>
      </w:pPr>
    </w:p>
    <w:p w14:paraId="404964B7">
      <w:pPr>
        <w:pStyle w:val="78"/>
        <w:numPr>
          <w:ilvl w:val="0"/>
          <w:numId w:val="14"/>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在遵守本合同的前提下，“受托人”应与“登记托管机构”、“支付代理机构”签订“债券发行、登记及代理兑付服务协议”，具体约定“信托”项下全部各类“资产支持证券”的登记、托管事宜。</w:t>
      </w:r>
    </w:p>
    <w:p w14:paraId="5AA99154">
      <w:pPr>
        <w:tabs>
          <w:tab w:val="left" w:pos="1985"/>
        </w:tabs>
        <w:spacing w:line="380" w:lineRule="exact"/>
        <w:ind w:left="1701"/>
        <w:rPr>
          <w:rFonts w:eastAsia="楷体_GB2312"/>
          <w:sz w:val="24"/>
        </w:rPr>
      </w:pPr>
    </w:p>
    <w:p w14:paraId="36391CFB">
      <w:pPr>
        <w:pStyle w:val="78"/>
        <w:numPr>
          <w:ilvl w:val="0"/>
          <w:numId w:val="14"/>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资产支持证券”的发行登记服务费由“受托人”于托管手续完成后【】个“工作日”内指示“资金保管机构”从“信托账户”中支付给“登记托管机构”。发行登记服务费由“信托财产”承担。如“信托财产”中的现金不足以支付“登记托管机构”的发行登记服务费，“受托人”将以固有财产垫付，就垫付的金额，对“信托财产”享有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条约定的支付顺序优先受偿的权利。</w:t>
      </w:r>
    </w:p>
    <w:p w14:paraId="48199E60">
      <w:pPr>
        <w:spacing w:line="360" w:lineRule="auto"/>
        <w:ind w:left="1560"/>
        <w:rPr>
          <w:rFonts w:eastAsia="楷体_GB2312"/>
          <w:b/>
          <w:bCs/>
          <w:i/>
          <w:iCs/>
          <w:color w:val="FF0000"/>
          <w:kern w:val="2"/>
          <w:sz w:val="24"/>
          <w:szCs w:val="24"/>
        </w:rPr>
      </w:pPr>
      <w:r>
        <w:rPr>
          <w:rFonts w:eastAsia="楷体_GB2312"/>
          <w:b/>
          <w:bCs/>
          <w:i/>
          <w:iCs/>
          <w:color w:val="FF0000"/>
          <w:kern w:val="2"/>
          <w:sz w:val="24"/>
          <w:szCs w:val="24"/>
        </w:rPr>
        <w:t>【注：登记托管机构的服务费的承担方式可根据项目实际情况进行调整。】</w:t>
      </w:r>
    </w:p>
    <w:p w14:paraId="19DDB6DF">
      <w:pPr>
        <w:spacing w:line="360" w:lineRule="auto"/>
        <w:ind w:left="1560"/>
        <w:rPr>
          <w:rFonts w:eastAsia="楷体_GB2312"/>
          <w:b/>
          <w:bCs/>
          <w:i/>
          <w:iCs/>
          <w:color w:val="FF0000"/>
          <w:kern w:val="2"/>
          <w:sz w:val="24"/>
          <w:szCs w:val="24"/>
        </w:rPr>
      </w:pPr>
    </w:p>
    <w:p w14:paraId="69BD555D">
      <w:pPr>
        <w:numPr>
          <w:ilvl w:val="2"/>
          <w:numId w:val="4"/>
        </w:numPr>
        <w:tabs>
          <w:tab w:val="left" w:pos="900"/>
        </w:tabs>
        <w:spacing w:line="380" w:lineRule="atLeast"/>
        <w:ind w:left="1620" w:hanging="769"/>
        <w:rPr>
          <w:rFonts w:eastAsia="楷体_GB2312"/>
          <w:sz w:val="24"/>
        </w:rPr>
      </w:pPr>
      <w:r>
        <w:rPr>
          <w:rFonts w:eastAsia="楷体_GB2312"/>
          <w:b/>
          <w:bCs/>
          <w:sz w:val="24"/>
        </w:rPr>
        <w:t>资产支持证券</w:t>
      </w:r>
      <w:r>
        <w:rPr>
          <w:rFonts w:eastAsia="楷体_GB2312"/>
          <w:b/>
          <w:sz w:val="24"/>
        </w:rPr>
        <w:t>的交易</w:t>
      </w:r>
    </w:p>
    <w:p w14:paraId="1F80AE26">
      <w:pPr>
        <w:spacing w:line="380" w:lineRule="atLeast"/>
        <w:rPr>
          <w:rFonts w:eastAsia="楷体_GB2312"/>
          <w:sz w:val="24"/>
        </w:rPr>
      </w:pPr>
    </w:p>
    <w:p w14:paraId="26A5A7B8">
      <w:pPr>
        <w:pStyle w:val="78"/>
        <w:numPr>
          <w:ilvl w:val="0"/>
          <w:numId w:val="15"/>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符合交易流通要求的“资产支持证券”在全国银行间债券市场发行结束之后，“资产支持证券”应根据《全国银行间市场债券交易规则》和《全国银行间债券市场债券交易管理办法》的规定在全国银行间债券市场进行交易流通</w:t>
      </w:r>
      <w:r>
        <w:rPr>
          <w:rFonts w:eastAsia="楷体_GB2312"/>
          <w:color w:val="000000"/>
          <w:sz w:val="24"/>
        </w:rPr>
        <w:t>，但相关“中国法律”对“发起机构”自持的“资产支持证券”及“次级资产支持证券”的转让有特殊规定的依其规定</w:t>
      </w:r>
      <w:r>
        <w:rPr>
          <w:rFonts w:eastAsia="楷体_GB2312"/>
          <w:sz w:val="24"/>
        </w:rPr>
        <w:t>。</w:t>
      </w:r>
    </w:p>
    <w:p w14:paraId="3C20155C">
      <w:pPr>
        <w:spacing w:line="380" w:lineRule="atLeast"/>
        <w:ind w:left="2160"/>
        <w:rPr>
          <w:rFonts w:eastAsia="楷体_GB2312"/>
          <w:sz w:val="24"/>
        </w:rPr>
      </w:pPr>
    </w:p>
    <w:p w14:paraId="35E04A42">
      <w:pPr>
        <w:pStyle w:val="78"/>
        <w:numPr>
          <w:ilvl w:val="0"/>
          <w:numId w:val="15"/>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“资产支持证券持有人”享有与其持有</w:t>
      </w:r>
      <w:r>
        <w:rPr>
          <w:rFonts w:eastAsia="楷体_GB2312"/>
          <w:bCs/>
          <w:sz w:val="24"/>
        </w:rPr>
        <w:t>“</w:t>
      </w:r>
      <w:r>
        <w:rPr>
          <w:rFonts w:eastAsia="楷体_GB2312"/>
          <w:sz w:val="24"/>
        </w:rPr>
        <w:t>资产支持证券</w:t>
      </w:r>
      <w:r>
        <w:rPr>
          <w:rFonts w:eastAsia="楷体_GB2312"/>
          <w:bCs/>
          <w:sz w:val="24"/>
        </w:rPr>
        <w:t>”</w:t>
      </w:r>
      <w:r>
        <w:rPr>
          <w:rFonts w:eastAsia="楷体_GB2312"/>
          <w:sz w:val="24"/>
        </w:rPr>
        <w:t>级别和数额相对应的</w:t>
      </w:r>
      <w:r>
        <w:rPr>
          <w:rFonts w:eastAsia="楷体_GB2312"/>
          <w:bCs/>
          <w:sz w:val="24"/>
        </w:rPr>
        <w:t>“</w:t>
      </w:r>
      <w:r>
        <w:rPr>
          <w:rFonts w:eastAsia="楷体_GB2312"/>
          <w:sz w:val="24"/>
        </w:rPr>
        <w:t>信托受益权</w:t>
      </w:r>
      <w:r>
        <w:rPr>
          <w:rFonts w:eastAsia="楷体_GB2312"/>
          <w:bCs/>
          <w:sz w:val="24"/>
        </w:rPr>
        <w:t>”</w:t>
      </w:r>
      <w:r>
        <w:rPr>
          <w:rFonts w:eastAsia="楷体_GB2312"/>
          <w:sz w:val="24"/>
        </w:rPr>
        <w:t>份额。“资产支持证券”是其持有人享有“信托”的相应“信托受益权”及承担相应义务的证明。</w:t>
      </w:r>
    </w:p>
    <w:p w14:paraId="788D85AA">
      <w:pPr>
        <w:spacing w:line="380" w:lineRule="atLeast"/>
        <w:ind w:left="2160"/>
        <w:rPr>
          <w:rFonts w:eastAsia="楷体_GB2312"/>
          <w:sz w:val="24"/>
        </w:rPr>
      </w:pPr>
    </w:p>
    <w:p w14:paraId="684DB3BB">
      <w:pPr>
        <w:pStyle w:val="78"/>
        <w:numPr>
          <w:ilvl w:val="0"/>
          <w:numId w:val="15"/>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在“资产支持证券”在全国银行间债券市场上市后，</w:t>
      </w:r>
      <w:r>
        <w:rPr>
          <w:rFonts w:eastAsia="楷体_GB2312"/>
          <w:bCs/>
          <w:sz w:val="24"/>
        </w:rPr>
        <w:t>“</w:t>
      </w:r>
      <w:r>
        <w:rPr>
          <w:rFonts w:eastAsia="楷体_GB2312"/>
          <w:sz w:val="24"/>
        </w:rPr>
        <w:t>资产支持证券持有人</w:t>
      </w:r>
      <w:r>
        <w:rPr>
          <w:rFonts w:eastAsia="楷体_GB2312"/>
          <w:bCs/>
          <w:sz w:val="24"/>
        </w:rPr>
        <w:t>”</w:t>
      </w:r>
      <w:r>
        <w:rPr>
          <w:rFonts w:eastAsia="楷体_GB2312"/>
          <w:sz w:val="24"/>
        </w:rPr>
        <w:t>应按照“人民银行”、“同业拆借中心”和“登记托管机构”制订的托管、交易和结算规则和程序进行转让。</w:t>
      </w:r>
    </w:p>
    <w:p w14:paraId="07F4F935">
      <w:pPr>
        <w:pStyle w:val="75"/>
        <w:ind w:firstLine="480"/>
        <w:rPr>
          <w:rFonts w:eastAsia="楷体_GB2312"/>
          <w:sz w:val="24"/>
        </w:rPr>
      </w:pPr>
    </w:p>
    <w:p w14:paraId="5C092BC9">
      <w:pPr>
        <w:pStyle w:val="78"/>
        <w:numPr>
          <w:ilvl w:val="0"/>
          <w:numId w:val="15"/>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只要“登记托管机构”仍然托管“资产支持证券”，“受托人”就应促使“登记托管机构”于每个“支付日”提供一份资产支持证券持有人名单，包括其姓名和托管账号等信息。</w:t>
      </w:r>
    </w:p>
    <w:p w14:paraId="66E1AD70">
      <w:pPr>
        <w:spacing w:line="380" w:lineRule="atLeast"/>
        <w:rPr>
          <w:rFonts w:eastAsia="楷体_GB2312"/>
          <w:sz w:val="24"/>
        </w:rPr>
      </w:pPr>
    </w:p>
    <w:p w14:paraId="7AC77F58">
      <w:pPr>
        <w:numPr>
          <w:ilvl w:val="2"/>
          <w:numId w:val="4"/>
        </w:numPr>
        <w:tabs>
          <w:tab w:val="left" w:pos="900"/>
        </w:tabs>
        <w:spacing w:line="380" w:lineRule="atLeast"/>
        <w:ind w:left="1620" w:hanging="769"/>
        <w:rPr>
          <w:rFonts w:eastAsia="楷体_GB2312"/>
          <w:b/>
          <w:sz w:val="24"/>
        </w:rPr>
      </w:pPr>
      <w:bookmarkStart w:id="237" w:name="_Toc111281793"/>
      <w:r>
        <w:rPr>
          <w:rFonts w:eastAsia="楷体_GB2312"/>
          <w:b/>
          <w:sz w:val="24"/>
        </w:rPr>
        <w:t>资产支持证券的结算</w:t>
      </w:r>
      <w:bookmarkEnd w:id="237"/>
    </w:p>
    <w:p w14:paraId="526D551E">
      <w:pPr>
        <w:spacing w:line="380" w:lineRule="atLeast"/>
        <w:rPr>
          <w:rFonts w:eastAsia="楷体_GB2312"/>
          <w:sz w:val="24"/>
        </w:rPr>
      </w:pPr>
    </w:p>
    <w:p w14:paraId="47674D5E">
      <w:pPr>
        <w:pStyle w:val="78"/>
        <w:numPr>
          <w:ilvl w:val="0"/>
          <w:numId w:val="16"/>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“资产支持证券”的结算按照《资产支持证券发行登记与托管结算业务操作规则》的规定执行。</w:t>
      </w:r>
    </w:p>
    <w:p w14:paraId="610FF772">
      <w:pPr>
        <w:spacing w:line="380" w:lineRule="atLeast"/>
        <w:rPr>
          <w:rFonts w:eastAsia="楷体_GB2312"/>
          <w:sz w:val="24"/>
        </w:rPr>
      </w:pPr>
    </w:p>
    <w:p w14:paraId="3C94CA9F">
      <w:pPr>
        <w:pStyle w:val="78"/>
        <w:numPr>
          <w:ilvl w:val="0"/>
          <w:numId w:val="16"/>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“资产支持证券持有人”可以将“资产支持证券”依法转让、用于清偿债务或以其他合法方式进行移转，并按照相关规定办理相应的变更登记手续。</w:t>
      </w:r>
    </w:p>
    <w:p w14:paraId="332E196B">
      <w:pPr>
        <w:spacing w:line="380" w:lineRule="atLeast"/>
        <w:rPr>
          <w:rFonts w:eastAsia="楷体_GB2312"/>
          <w:b/>
          <w:sz w:val="24"/>
        </w:rPr>
      </w:pPr>
    </w:p>
    <w:p w14:paraId="0A91E7AE">
      <w:pPr>
        <w:numPr>
          <w:ilvl w:val="2"/>
          <w:numId w:val="4"/>
        </w:numPr>
        <w:tabs>
          <w:tab w:val="left" w:pos="900"/>
        </w:tabs>
        <w:spacing w:line="380" w:lineRule="atLeast"/>
        <w:ind w:left="1620" w:hanging="769"/>
        <w:rPr>
          <w:rFonts w:eastAsia="楷体_GB2312"/>
          <w:b/>
          <w:color w:val="000000"/>
          <w:sz w:val="24"/>
        </w:rPr>
      </w:pPr>
      <w:bookmarkStart w:id="238" w:name="_Ref445993982"/>
      <w:bookmarkStart w:id="239" w:name="_Toc111281794"/>
      <w:r>
        <w:rPr>
          <w:rFonts w:eastAsia="楷体_GB2312"/>
          <w:b/>
          <w:color w:val="000000"/>
          <w:sz w:val="24"/>
        </w:rPr>
        <w:t>发行费用的支付</w:t>
      </w:r>
      <w:bookmarkEnd w:id="238"/>
    </w:p>
    <w:p w14:paraId="1A71AE78">
      <w:pPr>
        <w:tabs>
          <w:tab w:val="left" w:pos="1571"/>
        </w:tabs>
        <w:spacing w:line="380" w:lineRule="atLeast"/>
        <w:ind w:left="1620"/>
        <w:rPr>
          <w:rFonts w:eastAsia="楷体_GB2312"/>
          <w:b/>
          <w:color w:val="000000"/>
          <w:sz w:val="24"/>
        </w:rPr>
      </w:pPr>
    </w:p>
    <w:p w14:paraId="163EE42C">
      <w:pPr>
        <w:pStyle w:val="80"/>
        <w:widowControl w:val="0"/>
        <w:spacing w:line="380" w:lineRule="atLeast"/>
        <w:ind w:left="1560" w:firstLine="0" w:firstLineChars="0"/>
        <w:jc w:val="both"/>
        <w:rPr>
          <w:rFonts w:eastAsia="楷体_GB2312"/>
          <w:color w:val="000000"/>
          <w:lang w:eastAsia="zh-CN"/>
        </w:rPr>
      </w:pPr>
      <w:r>
        <w:rPr>
          <w:rFonts w:eastAsia="楷体_GB2312"/>
          <w:color w:val="000000"/>
          <w:lang w:eastAsia="zh-CN"/>
        </w:rPr>
        <w:t>与“信托”的设立和“资产支持证券”发行相关的“发行费用”由“信托财产”承担。以“受托人”收到相关方的有效“收费文件”为前提，“受托人”应指示“资金保管机构”在第一个“支付日”自“信托账户”按照本合同第</w:t>
      </w:r>
      <w:r>
        <w:rPr>
          <w:rFonts w:eastAsia="楷体_GB2312"/>
          <w:color w:val="000000"/>
          <w:lang w:eastAsia="zh-CN"/>
        </w:rPr>
        <w:fldChar w:fldCharType="begin"/>
      </w:r>
      <w:r>
        <w:rPr>
          <w:rFonts w:eastAsia="楷体_GB2312"/>
          <w:color w:val="000000"/>
          <w:lang w:eastAsia="zh-CN"/>
        </w:rPr>
        <w:instrText xml:space="preserve"> REF _Ref169088813 \r \h  \* MERGEFORMAT </w:instrText>
      </w:r>
      <w:r>
        <w:rPr>
          <w:rFonts w:eastAsia="楷体_GB2312"/>
          <w:color w:val="000000"/>
          <w:lang w:eastAsia="zh-CN"/>
        </w:rPr>
        <w:fldChar w:fldCharType="separate"/>
      </w:r>
      <w:r>
        <w:rPr>
          <w:rFonts w:eastAsia="楷体_GB2312"/>
          <w:color w:val="000000"/>
          <w:lang w:eastAsia="zh-CN"/>
        </w:rPr>
        <w:t>10</w:t>
      </w:r>
      <w:r>
        <w:rPr>
          <w:rFonts w:eastAsia="楷体_GB2312"/>
          <w:color w:val="000000"/>
          <w:lang w:eastAsia="zh-CN"/>
        </w:rPr>
        <w:fldChar w:fldCharType="end"/>
      </w:r>
      <w:r>
        <w:rPr>
          <w:rFonts w:eastAsia="楷体_GB2312"/>
          <w:color w:val="000000"/>
          <w:lang w:eastAsia="zh-CN"/>
        </w:rPr>
        <w:t>条</w:t>
      </w:r>
      <w:r>
        <w:rPr>
          <w:rFonts w:eastAsia="楷体_GB2312"/>
          <w:lang w:eastAsia="zh-CN"/>
        </w:rPr>
        <w:t>约</w:t>
      </w:r>
      <w:r>
        <w:rPr>
          <w:rFonts w:eastAsia="楷体_GB2312"/>
          <w:color w:val="000000"/>
          <w:lang w:eastAsia="zh-CN"/>
        </w:rPr>
        <w:t>定的分配顺序支付给相关方（但相关“收费文件”对付款时间另有约定的除外）。如“信托财产”中的现金不足以支付全部“发行费用”的，应优先支付发行登记服务费，其余各项“发行费用”按应受偿金额的比例同顺序支付，不足部分在下一个“支付日”支付。</w:t>
      </w:r>
    </w:p>
    <w:p w14:paraId="05C436C4">
      <w:pPr>
        <w:pStyle w:val="80"/>
        <w:widowControl w:val="0"/>
        <w:spacing w:line="380" w:lineRule="atLeast"/>
        <w:ind w:left="1560" w:firstLine="0" w:firstLineChars="0"/>
        <w:jc w:val="both"/>
        <w:rPr>
          <w:rFonts w:eastAsia="楷体_GB2312"/>
          <w:b/>
          <w:bCs/>
          <w:i/>
          <w:iCs/>
          <w:color w:val="FF0000"/>
          <w:lang w:eastAsia="zh-CN"/>
        </w:rPr>
      </w:pPr>
      <w:r>
        <w:rPr>
          <w:rFonts w:eastAsia="楷体_GB2312"/>
          <w:b/>
          <w:bCs/>
          <w:i/>
          <w:iCs/>
          <w:color w:val="FF0000"/>
          <w:lang w:eastAsia="zh-CN"/>
        </w:rPr>
        <w:t>【注：可根据项目具体情况调整。】</w:t>
      </w:r>
    </w:p>
    <w:p w14:paraId="5375BB51">
      <w:pPr>
        <w:pStyle w:val="80"/>
        <w:widowControl w:val="0"/>
        <w:spacing w:line="380" w:lineRule="atLeast"/>
        <w:ind w:left="1560" w:firstLine="0" w:firstLineChars="0"/>
        <w:jc w:val="both"/>
        <w:rPr>
          <w:rFonts w:eastAsia="楷体_GB2312"/>
          <w:b/>
          <w:bCs/>
          <w:i/>
          <w:iCs/>
          <w:color w:val="000000"/>
          <w:lang w:eastAsia="zh-CN"/>
        </w:rPr>
      </w:pPr>
    </w:p>
    <w:p w14:paraId="66A00284">
      <w:pPr>
        <w:numPr>
          <w:ilvl w:val="1"/>
          <w:numId w:val="4"/>
        </w:numPr>
        <w:tabs>
          <w:tab w:val="left" w:pos="900"/>
        </w:tabs>
        <w:spacing w:line="380" w:lineRule="atLeast"/>
        <w:outlineLvl w:val="1"/>
        <w:rPr>
          <w:rFonts w:eastAsia="楷体_GB2312"/>
          <w:b/>
          <w:sz w:val="24"/>
        </w:rPr>
      </w:pPr>
      <w:r>
        <w:rPr>
          <w:rFonts w:eastAsia="楷体_GB2312"/>
          <w:b/>
          <w:bCs/>
          <w:sz w:val="24"/>
        </w:rPr>
        <w:t>资产支持证券</w:t>
      </w:r>
      <w:r>
        <w:rPr>
          <w:rFonts w:eastAsia="楷体_GB2312"/>
          <w:b/>
          <w:sz w:val="24"/>
        </w:rPr>
        <w:t>发行不成功</w:t>
      </w:r>
      <w:bookmarkEnd w:id="239"/>
    </w:p>
    <w:p w14:paraId="238D77F8">
      <w:pPr>
        <w:spacing w:line="380" w:lineRule="atLeast"/>
        <w:ind w:left="2340" w:hanging="1064"/>
        <w:rPr>
          <w:rFonts w:eastAsia="楷体_GB2312"/>
          <w:sz w:val="24"/>
        </w:rPr>
      </w:pPr>
    </w:p>
    <w:p w14:paraId="05401BCC">
      <w:pPr>
        <w:numPr>
          <w:ilvl w:val="2"/>
          <w:numId w:val="4"/>
        </w:numPr>
        <w:tabs>
          <w:tab w:val="left" w:pos="900"/>
        </w:tabs>
        <w:spacing w:line="380" w:lineRule="atLeast"/>
        <w:ind w:left="1620" w:hanging="769"/>
        <w:rPr>
          <w:rFonts w:eastAsia="楷体_GB2312"/>
          <w:sz w:val="24"/>
        </w:rPr>
      </w:pPr>
      <w:r>
        <w:rPr>
          <w:rFonts w:eastAsia="楷体_GB2312"/>
          <w:sz w:val="24"/>
        </w:rPr>
        <w:t>如果截至“簿记建档日”各档“资产支持证券”（“发起机构”自持的“资产支持证券”除外）未能全部得到足额认购，或者截至“缴款截止日”各档“资产支持证券”（“发起机构”自持的“资产支持证券”除外）募集款项未能全部足额缴纳【或者“发起机构”未按照本合同约定向“受托机构”按时、足额支付其自持“资产支持证券”的认购款项】</w:t>
      </w:r>
      <w:r>
        <w:rPr>
          <w:rFonts w:hint="eastAsia" w:eastAsia="楷体_GB2312"/>
          <w:b/>
          <w:bCs/>
          <w:i/>
          <w:iCs/>
          <w:color w:val="FF0000"/>
          <w:sz w:val="24"/>
        </w:rPr>
        <w:t>【</w:t>
      </w:r>
      <w:r>
        <w:rPr>
          <w:rFonts w:eastAsia="楷体_GB2312"/>
          <w:b/>
          <w:bCs/>
          <w:i/>
          <w:iCs/>
          <w:color w:val="FF0000"/>
          <w:sz w:val="24"/>
        </w:rPr>
        <w:t>注：仅适用于发起机构以自有资金认购自持部分证券的情形】</w:t>
      </w:r>
      <w:r>
        <w:rPr>
          <w:rFonts w:eastAsia="楷体_GB2312"/>
          <w:sz w:val="24"/>
        </w:rPr>
        <w:t>，且“主承销商”未按“《主承销协议》”约定履行包销责任，则视为“资产支持证券”发行不成功。在发行不成功的情形下，除本合同另有约定外，“委托人”和“受托人”自行承担因发行“资产支持证券”而支出的各自的费用。“资产支持证券”发行不成功的，“委托人”和“受托人”可以另行协商发行安排。</w:t>
      </w:r>
    </w:p>
    <w:p w14:paraId="07770527">
      <w:pPr>
        <w:spacing w:line="380" w:lineRule="atLeast"/>
        <w:rPr>
          <w:rFonts w:eastAsia="楷体_GB2312"/>
          <w:sz w:val="24"/>
        </w:rPr>
      </w:pPr>
    </w:p>
    <w:p w14:paraId="7C0D6ACD">
      <w:pPr>
        <w:numPr>
          <w:ilvl w:val="2"/>
          <w:numId w:val="4"/>
        </w:numPr>
        <w:tabs>
          <w:tab w:val="left" w:pos="900"/>
        </w:tabs>
        <w:spacing w:line="380" w:lineRule="atLeast"/>
        <w:ind w:left="1620" w:hanging="769"/>
        <w:rPr>
          <w:rFonts w:eastAsia="楷体_GB2312"/>
          <w:sz w:val="24"/>
        </w:rPr>
      </w:pPr>
      <w:bookmarkStart w:id="240" w:name="_Ref112061754"/>
      <w:r>
        <w:rPr>
          <w:rFonts w:eastAsia="楷体_GB2312"/>
          <w:sz w:val="24"/>
        </w:rPr>
        <w:t>“资产支持证券”发行不成功的，“受托人”应不迟于发行结束后的次日向“登记托管机构”提供《发行结果公告》，以便“登记托管机构”据此办理“资产支持证券”注销手续</w:t>
      </w:r>
      <w:bookmarkEnd w:id="240"/>
      <w:r>
        <w:rPr>
          <w:rFonts w:eastAsia="楷体_GB2312"/>
          <w:sz w:val="24"/>
        </w:rPr>
        <w:t>。</w:t>
      </w:r>
    </w:p>
    <w:p w14:paraId="29C73F2C">
      <w:pPr>
        <w:spacing w:line="380" w:lineRule="atLeast"/>
        <w:rPr>
          <w:rFonts w:eastAsia="楷体_GB2312"/>
          <w:sz w:val="24"/>
        </w:rPr>
      </w:pPr>
    </w:p>
    <w:p w14:paraId="5BCF48D5">
      <w:pPr>
        <w:numPr>
          <w:ilvl w:val="1"/>
          <w:numId w:val="4"/>
        </w:numPr>
        <w:tabs>
          <w:tab w:val="left" w:pos="900"/>
        </w:tabs>
        <w:spacing w:line="380" w:lineRule="atLeast"/>
        <w:outlineLvl w:val="1"/>
        <w:rPr>
          <w:rFonts w:eastAsia="楷体_GB2312"/>
          <w:b/>
          <w:sz w:val="24"/>
        </w:rPr>
      </w:pPr>
      <w:bookmarkStart w:id="241" w:name="_Toc146989589"/>
      <w:bookmarkEnd w:id="241"/>
      <w:bookmarkStart w:id="242" w:name="_Toc111281795"/>
      <w:bookmarkStart w:id="243" w:name="_Toc110153442"/>
      <w:r>
        <w:rPr>
          <w:rFonts w:eastAsia="楷体_GB2312"/>
          <w:b/>
          <w:sz w:val="24"/>
        </w:rPr>
        <w:t>资产支持证券持有人名单</w:t>
      </w:r>
      <w:bookmarkEnd w:id="242"/>
      <w:bookmarkEnd w:id="243"/>
      <w:bookmarkStart w:id="244" w:name="_Toc92612930"/>
    </w:p>
    <w:bookmarkEnd w:id="244"/>
    <w:p w14:paraId="3A2A0904">
      <w:pPr>
        <w:spacing w:line="380" w:lineRule="atLeast"/>
        <w:rPr>
          <w:rFonts w:eastAsia="楷体_GB2312"/>
          <w:b/>
          <w:sz w:val="24"/>
        </w:rPr>
      </w:pPr>
    </w:p>
    <w:p w14:paraId="79A8BF08">
      <w:pPr>
        <w:numPr>
          <w:ilvl w:val="2"/>
          <w:numId w:val="4"/>
        </w:numPr>
        <w:tabs>
          <w:tab w:val="left" w:pos="900"/>
        </w:tabs>
        <w:spacing w:line="380" w:lineRule="atLeast"/>
        <w:ind w:left="1620" w:hanging="769"/>
        <w:rPr>
          <w:rFonts w:eastAsia="楷体_GB2312"/>
          <w:sz w:val="24"/>
        </w:rPr>
      </w:pPr>
      <w:bookmarkStart w:id="245" w:name="_Ref482096372"/>
      <w:r>
        <w:rPr>
          <w:rFonts w:eastAsia="楷体_GB2312"/>
          <w:sz w:val="24"/>
        </w:rPr>
        <w:t>在“支付日”前【】个“工作日”，由“登记托管机构”登记于资产支持证券持有人名单上的“资产支持证券持有人”为享有当期收益的“资产支持证券持有人”。</w:t>
      </w:r>
      <w:bookmarkEnd w:id="245"/>
    </w:p>
    <w:p w14:paraId="59B59B47">
      <w:pPr>
        <w:tabs>
          <w:tab w:val="left" w:pos="2160"/>
        </w:tabs>
        <w:spacing w:line="380" w:lineRule="atLeast"/>
        <w:ind w:left="1080"/>
        <w:rPr>
          <w:rFonts w:eastAsia="楷体_GB2312"/>
          <w:sz w:val="24"/>
        </w:rPr>
      </w:pPr>
    </w:p>
    <w:p w14:paraId="2712D8EC">
      <w:pPr>
        <w:numPr>
          <w:ilvl w:val="2"/>
          <w:numId w:val="4"/>
        </w:numPr>
        <w:tabs>
          <w:tab w:val="left" w:pos="900"/>
        </w:tabs>
        <w:spacing w:line="380" w:lineRule="atLeast"/>
        <w:ind w:left="1620" w:hanging="769"/>
        <w:rPr>
          <w:rFonts w:eastAsia="楷体_GB2312"/>
          <w:sz w:val="24"/>
        </w:rPr>
      </w:pPr>
      <w:r>
        <w:rPr>
          <w:rFonts w:eastAsia="楷体_GB2312"/>
          <w:sz w:val="24"/>
        </w:rPr>
        <w:t>“受托人”应妥善保管“支付代理机构”向“受托人”出具的《资产支持证券兑付、付息手续完成确认书》。</w:t>
      </w:r>
    </w:p>
    <w:p w14:paraId="19189F51">
      <w:pPr>
        <w:tabs>
          <w:tab w:val="left" w:pos="2160"/>
        </w:tabs>
        <w:spacing w:line="380" w:lineRule="atLeast"/>
        <w:ind w:left="1080"/>
        <w:rPr>
          <w:rFonts w:eastAsia="楷体_GB2312"/>
          <w:sz w:val="24"/>
        </w:rPr>
      </w:pPr>
    </w:p>
    <w:p w14:paraId="60A4A823">
      <w:pPr>
        <w:numPr>
          <w:ilvl w:val="2"/>
          <w:numId w:val="4"/>
        </w:numPr>
        <w:tabs>
          <w:tab w:val="left" w:pos="900"/>
        </w:tabs>
        <w:spacing w:line="380" w:lineRule="atLeast"/>
        <w:ind w:left="1620" w:hanging="769"/>
        <w:rPr>
          <w:rFonts w:eastAsia="楷体_GB2312"/>
          <w:sz w:val="24"/>
        </w:rPr>
      </w:pPr>
      <w:r>
        <w:rPr>
          <w:rFonts w:eastAsia="楷体_GB2312"/>
          <w:sz w:val="24"/>
        </w:rPr>
        <w:t>“受托人”应及时获得，并妥善保存“登记托管机构”制作的资产支持证券持有人名单。</w:t>
      </w:r>
    </w:p>
    <w:p w14:paraId="27D32C05">
      <w:pPr>
        <w:tabs>
          <w:tab w:val="left" w:pos="2160"/>
        </w:tabs>
        <w:spacing w:line="380" w:lineRule="atLeast"/>
        <w:rPr>
          <w:rFonts w:eastAsia="楷体_GB2312"/>
          <w:sz w:val="24"/>
        </w:rPr>
      </w:pPr>
    </w:p>
    <w:p w14:paraId="6B4C8578">
      <w:pPr>
        <w:numPr>
          <w:ilvl w:val="0"/>
          <w:numId w:val="4"/>
        </w:numPr>
        <w:spacing w:line="380" w:lineRule="atLeast"/>
        <w:outlineLvl w:val="0"/>
        <w:rPr>
          <w:rFonts w:eastAsia="楷体_GB2312"/>
          <w:b/>
          <w:sz w:val="24"/>
        </w:rPr>
      </w:pPr>
      <w:bookmarkStart w:id="246" w:name="_Toc27080"/>
      <w:bookmarkStart w:id="247" w:name="_Toc51277218"/>
      <w:bookmarkStart w:id="248" w:name="_Toc373951549"/>
      <w:bookmarkStart w:id="249" w:name="_Ref150547317"/>
      <w:bookmarkStart w:id="250" w:name="_Ref150588804"/>
      <w:r>
        <w:rPr>
          <w:rFonts w:eastAsia="楷体_GB2312"/>
          <w:b/>
          <w:sz w:val="24"/>
        </w:rPr>
        <w:t>信托账户</w:t>
      </w:r>
      <w:bookmarkEnd w:id="246"/>
      <w:bookmarkEnd w:id="247"/>
      <w:bookmarkEnd w:id="248"/>
      <w:bookmarkStart w:id="251" w:name="_Toc51258864"/>
      <w:bookmarkEnd w:id="251"/>
    </w:p>
    <w:p w14:paraId="71A93BA3">
      <w:pPr>
        <w:spacing w:line="380" w:lineRule="atLeast"/>
        <w:rPr>
          <w:rFonts w:eastAsia="楷体_GB2312"/>
          <w:b/>
          <w:sz w:val="24"/>
        </w:rPr>
      </w:pPr>
      <w:bookmarkStart w:id="252" w:name="_Toc51258865"/>
      <w:bookmarkEnd w:id="252"/>
    </w:p>
    <w:p w14:paraId="0461BD8D">
      <w:pPr>
        <w:numPr>
          <w:ilvl w:val="1"/>
          <w:numId w:val="4"/>
        </w:numPr>
        <w:spacing w:line="380" w:lineRule="atLeast"/>
        <w:outlineLvl w:val="1"/>
        <w:rPr>
          <w:rFonts w:eastAsia="楷体_GB2312"/>
          <w:b/>
          <w:sz w:val="24"/>
        </w:rPr>
      </w:pPr>
      <w:r>
        <w:rPr>
          <w:rFonts w:eastAsia="楷体_GB2312"/>
          <w:sz w:val="24"/>
        </w:rPr>
        <w:t>在“信托生效日”当日或之前，“受托人”应根据“《资金保管合同》”的约定以“【受托机构全称】”的名称在“资金保管机构”开立独立的人民币信托专用账户（即“信托账户”）。</w:t>
      </w:r>
    </w:p>
    <w:p w14:paraId="34B17BE7">
      <w:pPr>
        <w:spacing w:line="380" w:lineRule="atLeast"/>
        <w:ind w:left="425"/>
        <w:rPr>
          <w:rFonts w:eastAsia="楷体_GB2312"/>
          <w:b/>
          <w:sz w:val="24"/>
        </w:rPr>
      </w:pPr>
    </w:p>
    <w:p w14:paraId="17EB10CE">
      <w:pPr>
        <w:numPr>
          <w:ilvl w:val="1"/>
          <w:numId w:val="4"/>
        </w:numPr>
        <w:spacing w:line="380" w:lineRule="atLeast"/>
        <w:outlineLvl w:val="1"/>
        <w:rPr>
          <w:rFonts w:eastAsia="楷体_GB2312"/>
          <w:b/>
          <w:sz w:val="24"/>
        </w:rPr>
      </w:pPr>
      <w:r>
        <w:rPr>
          <w:rFonts w:eastAsia="楷体_GB2312"/>
          <w:sz w:val="24"/>
        </w:rPr>
        <w:t>根据“《资金保管合同》”解任“资金保管机构”后，“资产支持证券持有人大会”应任命“替代资金保管机构”。“替代资金保管机构”应是（1）“评级机构”对其的长期主体信用等级均高于或等于【】级；（2）愿意按照“《资金保管合同》”的条款担任“资金保管机构”且具备资金保管机构业务资格的商业银行。“受托人”应于实际可行时尽快但至迟于任命“替代资金保管机构”后的【】个“工作日”内将上述相关账户及其存款转入“替代资金保管机构”。</w:t>
      </w:r>
    </w:p>
    <w:p w14:paraId="2FF0780B">
      <w:pPr>
        <w:spacing w:line="380" w:lineRule="atLeast"/>
        <w:ind w:left="425"/>
        <w:rPr>
          <w:rFonts w:eastAsia="楷体_GB2312"/>
          <w:b/>
          <w:sz w:val="24"/>
        </w:rPr>
      </w:pPr>
    </w:p>
    <w:p w14:paraId="373A033B">
      <w:pPr>
        <w:numPr>
          <w:ilvl w:val="1"/>
          <w:numId w:val="4"/>
        </w:numPr>
        <w:spacing w:line="380" w:lineRule="atLeast"/>
        <w:outlineLvl w:val="1"/>
        <w:rPr>
          <w:rFonts w:eastAsia="楷体_GB2312"/>
          <w:b/>
          <w:sz w:val="24"/>
        </w:rPr>
      </w:pPr>
      <w:r>
        <w:rPr>
          <w:rFonts w:eastAsia="楷体_GB2312"/>
          <w:sz w:val="24"/>
        </w:rPr>
        <w:t>除非本合同另有约定，“信托账户”中的资金所产生的利息，由“资金保管机构”按照“《资金保管合同》”的约定直接转入“信托账户”。</w:t>
      </w:r>
    </w:p>
    <w:p w14:paraId="479AC1FA">
      <w:pPr>
        <w:spacing w:line="380" w:lineRule="atLeast"/>
        <w:ind w:left="425"/>
        <w:rPr>
          <w:rFonts w:eastAsia="楷体_GB2312"/>
          <w:b/>
          <w:sz w:val="24"/>
        </w:rPr>
      </w:pPr>
      <w:bookmarkStart w:id="253" w:name="_Toc51258871"/>
      <w:bookmarkEnd w:id="253"/>
    </w:p>
    <w:p w14:paraId="171081F8">
      <w:pPr>
        <w:numPr>
          <w:ilvl w:val="0"/>
          <w:numId w:val="4"/>
        </w:numPr>
        <w:spacing w:line="380" w:lineRule="atLeast"/>
        <w:outlineLvl w:val="0"/>
        <w:rPr>
          <w:rFonts w:eastAsia="楷体_GB2312"/>
          <w:b/>
          <w:sz w:val="24"/>
        </w:rPr>
      </w:pPr>
      <w:bookmarkStart w:id="254" w:name="_Toc24254"/>
      <w:bookmarkStart w:id="255" w:name="_Toc373951550"/>
      <w:bookmarkStart w:id="256" w:name="_Toc51277219"/>
      <w:r>
        <w:rPr>
          <w:rFonts w:eastAsia="楷体_GB2312"/>
          <w:b/>
          <w:sz w:val="24"/>
        </w:rPr>
        <w:t>回收款的管理</w:t>
      </w:r>
      <w:bookmarkEnd w:id="254"/>
      <w:bookmarkEnd w:id="255"/>
      <w:bookmarkEnd w:id="256"/>
      <w:bookmarkStart w:id="257" w:name="_Toc51258872"/>
      <w:bookmarkEnd w:id="257"/>
    </w:p>
    <w:p w14:paraId="6F56BB04">
      <w:pPr>
        <w:spacing w:line="380" w:lineRule="atLeast"/>
        <w:rPr>
          <w:rFonts w:eastAsia="楷体_GB2312"/>
          <w:b/>
          <w:sz w:val="24"/>
        </w:rPr>
      </w:pPr>
      <w:bookmarkStart w:id="258" w:name="_Toc51258873"/>
      <w:bookmarkEnd w:id="258"/>
    </w:p>
    <w:p w14:paraId="6D5183EF">
      <w:pPr>
        <w:numPr>
          <w:ilvl w:val="1"/>
          <w:numId w:val="4"/>
        </w:numPr>
        <w:tabs>
          <w:tab w:val="left" w:pos="900"/>
        </w:tabs>
        <w:spacing w:line="380" w:lineRule="atLeast"/>
        <w:outlineLvl w:val="1"/>
        <w:rPr>
          <w:rFonts w:eastAsia="楷体_GB2312"/>
          <w:b/>
          <w:sz w:val="24"/>
        </w:rPr>
      </w:pPr>
      <w:r>
        <w:rPr>
          <w:rFonts w:eastAsia="楷体_GB2312"/>
          <w:b/>
          <w:sz w:val="24"/>
        </w:rPr>
        <w:t>回收款的转付与分配</w:t>
      </w:r>
      <w:bookmarkStart w:id="259" w:name="_Toc51258874"/>
      <w:bookmarkEnd w:id="259"/>
    </w:p>
    <w:p w14:paraId="6B3F4ED9">
      <w:pPr>
        <w:tabs>
          <w:tab w:val="left" w:pos="425"/>
          <w:tab w:val="left" w:pos="992"/>
        </w:tabs>
        <w:spacing w:line="380" w:lineRule="atLeast"/>
        <w:ind w:left="992"/>
        <w:rPr>
          <w:rFonts w:eastAsia="楷体_GB2312"/>
          <w:b/>
          <w:sz w:val="24"/>
        </w:rPr>
      </w:pPr>
      <w:bookmarkStart w:id="260" w:name="_Toc51258875"/>
      <w:bookmarkEnd w:id="260"/>
    </w:p>
    <w:p w14:paraId="76C0D1BD">
      <w:pPr>
        <w:numPr>
          <w:ilvl w:val="2"/>
          <w:numId w:val="4"/>
        </w:numPr>
        <w:tabs>
          <w:tab w:val="left" w:pos="900"/>
        </w:tabs>
        <w:spacing w:line="380" w:lineRule="atLeast"/>
        <w:ind w:left="1620" w:hanging="769"/>
        <w:rPr>
          <w:rFonts w:eastAsia="楷体_GB2312"/>
          <w:sz w:val="24"/>
        </w:rPr>
      </w:pPr>
      <w:r>
        <w:rPr>
          <w:rFonts w:eastAsia="楷体_GB2312"/>
          <w:sz w:val="24"/>
        </w:rPr>
        <w:t>“受托人”应授权并要求“贷款服务机构”按照“《服务合同》”的相关约定，于每个“回收款转付日”将前一个“回收款转付期间”内的全部“回收款”扣除“执行费用”</w:t>
      </w:r>
      <w:r>
        <w:rPr>
          <w:rFonts w:hint="eastAsia" w:eastAsia="楷体_GB2312"/>
          <w:sz w:val="24"/>
        </w:rPr>
        <w:t>（如有）</w:t>
      </w:r>
      <w:r>
        <w:rPr>
          <w:rFonts w:eastAsia="楷体_GB2312"/>
          <w:sz w:val="24"/>
        </w:rPr>
        <w:t>后的剩余款项存入“信托账户”。在每个“回收款转付日”“贷款服务机构”转付“回收款”以前，“回收款”在“贷款服务机构”的账户中不产生任何利息。</w:t>
      </w:r>
      <w:bookmarkStart w:id="261" w:name="_Toc51258876"/>
      <w:bookmarkEnd w:id="261"/>
    </w:p>
    <w:p w14:paraId="5E3B4A0D">
      <w:pPr>
        <w:tabs>
          <w:tab w:val="left" w:pos="900"/>
        </w:tabs>
        <w:spacing w:line="380" w:lineRule="atLeast"/>
        <w:ind w:left="1620"/>
        <w:rPr>
          <w:rFonts w:eastAsia="楷体_GB2312"/>
          <w:sz w:val="24"/>
        </w:rPr>
      </w:pPr>
      <w:bookmarkStart w:id="262" w:name="_Toc51258877"/>
      <w:bookmarkEnd w:id="262"/>
      <w:bookmarkStart w:id="263" w:name="_Toc51258878"/>
      <w:bookmarkEnd w:id="263"/>
      <w:bookmarkStart w:id="264" w:name="_Toc51258879"/>
      <w:bookmarkEnd w:id="264"/>
    </w:p>
    <w:p w14:paraId="2394C172">
      <w:pPr>
        <w:numPr>
          <w:ilvl w:val="2"/>
          <w:numId w:val="4"/>
        </w:numPr>
        <w:tabs>
          <w:tab w:val="left" w:pos="900"/>
        </w:tabs>
        <w:spacing w:line="380" w:lineRule="atLeast"/>
        <w:ind w:left="1620" w:hanging="769"/>
        <w:rPr>
          <w:rFonts w:eastAsia="楷体_GB2312"/>
          <w:sz w:val="24"/>
        </w:rPr>
      </w:pPr>
      <w:r>
        <w:rPr>
          <w:rFonts w:eastAsia="楷体_GB2312"/>
          <w:sz w:val="24"/>
        </w:rPr>
        <w:t>“资产支持证券持有人”均有权按照本合同第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条的约定就其享有的“信托受益权”取得“信托账户”余额的分配。</w:t>
      </w:r>
      <w:bookmarkStart w:id="265" w:name="_Toc51258880"/>
      <w:bookmarkEnd w:id="265"/>
    </w:p>
    <w:p w14:paraId="1CCDFB66">
      <w:pPr>
        <w:tabs>
          <w:tab w:val="left" w:pos="900"/>
        </w:tabs>
        <w:spacing w:line="380" w:lineRule="atLeast"/>
        <w:ind w:left="1620"/>
        <w:rPr>
          <w:rFonts w:eastAsia="楷体_GB2312"/>
          <w:sz w:val="24"/>
        </w:rPr>
      </w:pPr>
      <w:bookmarkStart w:id="266" w:name="_Toc51258881"/>
      <w:bookmarkEnd w:id="266"/>
    </w:p>
    <w:p w14:paraId="25322863">
      <w:pPr>
        <w:numPr>
          <w:ilvl w:val="2"/>
          <w:numId w:val="4"/>
        </w:numPr>
        <w:tabs>
          <w:tab w:val="left" w:pos="900"/>
        </w:tabs>
        <w:spacing w:line="380" w:lineRule="atLeast"/>
        <w:ind w:left="1620" w:hanging="769"/>
        <w:rPr>
          <w:rFonts w:eastAsia="楷体_GB2312"/>
          <w:sz w:val="24"/>
        </w:rPr>
      </w:pPr>
      <w:r>
        <w:rPr>
          <w:rFonts w:eastAsia="楷体_GB2312"/>
          <w:sz w:val="24"/>
        </w:rPr>
        <w:t>“优先级资产支持证券”的本金和利息在“信托终止日”之前全部清偿完毕的，“信托账户”内的所有“回收款”仍应按照本合同第</w:t>
      </w:r>
      <w:r>
        <w:rPr>
          <w:rFonts w:eastAsia="楷体_GB2312"/>
          <w:sz w:val="24"/>
        </w:rPr>
        <w:fldChar w:fldCharType="begin"/>
      </w:r>
      <w:r>
        <w:rPr>
          <w:rFonts w:eastAsia="楷体_GB2312"/>
          <w:sz w:val="24"/>
        </w:rPr>
        <w:instrText xml:space="preserve"> REF _Ref169088858 \r \h  \* MERGEFORMAT </w:instrText>
      </w:r>
      <w:r>
        <w:rPr>
          <w:rFonts w:eastAsia="楷体_GB2312"/>
          <w:sz w:val="24"/>
        </w:rPr>
        <w:fldChar w:fldCharType="separate"/>
      </w:r>
      <w:r>
        <w:rPr>
          <w:rFonts w:eastAsia="楷体_GB2312"/>
          <w:sz w:val="24"/>
        </w:rPr>
        <w:t>10.4</w:t>
      </w:r>
      <w:r>
        <w:rPr>
          <w:rFonts w:eastAsia="楷体_GB2312"/>
          <w:sz w:val="24"/>
        </w:rPr>
        <w:fldChar w:fldCharType="end"/>
      </w:r>
      <w:r>
        <w:rPr>
          <w:rFonts w:eastAsia="楷体_GB2312"/>
          <w:sz w:val="24"/>
        </w:rPr>
        <w:t>款或第</w:t>
      </w:r>
      <w:r>
        <w:rPr>
          <w:rFonts w:eastAsia="楷体_GB2312"/>
          <w:sz w:val="24"/>
        </w:rPr>
        <w:fldChar w:fldCharType="begin"/>
      </w:r>
      <w:r>
        <w:rPr>
          <w:rFonts w:eastAsia="楷体_GB2312"/>
          <w:sz w:val="24"/>
        </w:rPr>
        <w:instrText xml:space="preserve"> REF _Ref173768326 \r \h  \* MERGEFORMAT </w:instrText>
      </w:r>
      <w:r>
        <w:rPr>
          <w:rFonts w:eastAsia="楷体_GB2312"/>
          <w:sz w:val="24"/>
        </w:rPr>
        <w:fldChar w:fldCharType="separate"/>
      </w:r>
      <w:r>
        <w:rPr>
          <w:rFonts w:eastAsia="楷体_GB2312"/>
          <w:sz w:val="24"/>
        </w:rPr>
        <w:t>10.5</w:t>
      </w:r>
      <w:r>
        <w:rPr>
          <w:rFonts w:eastAsia="楷体_GB2312"/>
          <w:sz w:val="24"/>
        </w:rPr>
        <w:fldChar w:fldCharType="end"/>
      </w:r>
      <w:r>
        <w:rPr>
          <w:rFonts w:eastAsia="楷体_GB2312"/>
          <w:sz w:val="24"/>
        </w:rPr>
        <w:t>款约定的顺序进行支付。</w:t>
      </w:r>
      <w:bookmarkStart w:id="267" w:name="_Toc51258882"/>
      <w:bookmarkEnd w:id="267"/>
    </w:p>
    <w:p w14:paraId="10441783">
      <w:pPr>
        <w:pStyle w:val="78"/>
        <w:ind w:firstLine="482"/>
        <w:rPr>
          <w:rFonts w:eastAsia="楷体_GB2312"/>
          <w:b/>
          <w:sz w:val="24"/>
        </w:rPr>
      </w:pPr>
      <w:bookmarkStart w:id="268" w:name="_Toc51258883"/>
      <w:bookmarkEnd w:id="268"/>
    </w:p>
    <w:p w14:paraId="1F46C340">
      <w:pPr>
        <w:numPr>
          <w:ilvl w:val="0"/>
          <w:numId w:val="4"/>
        </w:numPr>
        <w:spacing w:line="380" w:lineRule="atLeast"/>
        <w:outlineLvl w:val="0"/>
        <w:rPr>
          <w:rFonts w:eastAsia="楷体_GB2312"/>
          <w:b/>
          <w:sz w:val="24"/>
        </w:rPr>
      </w:pPr>
      <w:bookmarkStart w:id="269" w:name="_Toc51258887"/>
      <w:bookmarkEnd w:id="269"/>
      <w:bookmarkStart w:id="270" w:name="_Toc51258927"/>
      <w:bookmarkEnd w:id="270"/>
      <w:bookmarkStart w:id="271" w:name="_Toc51258904"/>
      <w:bookmarkEnd w:id="271"/>
      <w:bookmarkStart w:id="272" w:name="_Toc51258894"/>
      <w:bookmarkEnd w:id="272"/>
      <w:bookmarkStart w:id="273" w:name="_Toc51258884"/>
      <w:bookmarkEnd w:id="273"/>
      <w:bookmarkStart w:id="274" w:name="_Toc51258903"/>
      <w:bookmarkEnd w:id="274"/>
      <w:bookmarkStart w:id="275" w:name="_Toc51258914"/>
      <w:bookmarkEnd w:id="275"/>
      <w:bookmarkStart w:id="276" w:name="_Toc51258916"/>
      <w:bookmarkEnd w:id="276"/>
      <w:bookmarkStart w:id="277" w:name="_Toc51258900"/>
      <w:bookmarkEnd w:id="277"/>
      <w:bookmarkStart w:id="278" w:name="_Toc51258915"/>
      <w:bookmarkEnd w:id="278"/>
      <w:bookmarkStart w:id="279" w:name="_Toc51258938"/>
      <w:bookmarkEnd w:id="279"/>
      <w:bookmarkStart w:id="280" w:name="_Toc51258949"/>
      <w:bookmarkEnd w:id="280"/>
      <w:bookmarkStart w:id="281" w:name="_Toc51258947"/>
      <w:bookmarkEnd w:id="281"/>
      <w:bookmarkStart w:id="282" w:name="_Toc51258892"/>
      <w:bookmarkEnd w:id="282"/>
      <w:bookmarkStart w:id="283" w:name="_Toc51258901"/>
      <w:bookmarkEnd w:id="283"/>
      <w:bookmarkStart w:id="284" w:name="_Toc51258911"/>
      <w:bookmarkEnd w:id="284"/>
      <w:bookmarkStart w:id="285" w:name="_Toc51258940"/>
      <w:bookmarkEnd w:id="285"/>
      <w:bookmarkStart w:id="286" w:name="_Toc51258928"/>
      <w:bookmarkEnd w:id="286"/>
      <w:bookmarkStart w:id="287" w:name="_Toc51258929"/>
      <w:bookmarkEnd w:id="287"/>
      <w:bookmarkStart w:id="288" w:name="_Toc51258933"/>
      <w:bookmarkEnd w:id="288"/>
      <w:bookmarkStart w:id="289" w:name="_Toc51258890"/>
      <w:bookmarkEnd w:id="289"/>
      <w:bookmarkStart w:id="290" w:name="_Toc51258888"/>
      <w:bookmarkEnd w:id="290"/>
      <w:bookmarkStart w:id="291" w:name="_Toc51258899"/>
      <w:bookmarkEnd w:id="291"/>
      <w:bookmarkStart w:id="292" w:name="_Toc51258886"/>
      <w:bookmarkEnd w:id="292"/>
      <w:bookmarkStart w:id="293" w:name="_Toc51258910"/>
      <w:bookmarkEnd w:id="293"/>
      <w:bookmarkStart w:id="294" w:name="_Toc51258913"/>
      <w:bookmarkEnd w:id="294"/>
      <w:bookmarkStart w:id="295" w:name="_Toc51258934"/>
      <w:bookmarkEnd w:id="295"/>
      <w:bookmarkStart w:id="296" w:name="_Toc51258926"/>
      <w:bookmarkEnd w:id="296"/>
      <w:bookmarkStart w:id="297" w:name="_Toc51258909"/>
      <w:bookmarkEnd w:id="297"/>
      <w:bookmarkStart w:id="298" w:name="_Toc51258885"/>
      <w:bookmarkEnd w:id="298"/>
      <w:bookmarkStart w:id="299" w:name="_Toc51258930"/>
      <w:bookmarkEnd w:id="299"/>
      <w:bookmarkStart w:id="300" w:name="_Toc51258945"/>
      <w:bookmarkEnd w:id="300"/>
      <w:bookmarkStart w:id="301" w:name="_Toc51258948"/>
      <w:bookmarkEnd w:id="301"/>
      <w:bookmarkStart w:id="302" w:name="_Toc51258920"/>
      <w:bookmarkEnd w:id="302"/>
      <w:bookmarkStart w:id="303" w:name="_Toc51258942"/>
      <w:bookmarkEnd w:id="303"/>
      <w:bookmarkStart w:id="304" w:name="_Toc51258908"/>
      <w:bookmarkEnd w:id="304"/>
      <w:bookmarkStart w:id="305" w:name="_Toc51258923"/>
      <w:bookmarkEnd w:id="305"/>
      <w:bookmarkStart w:id="306" w:name="_Toc51258954"/>
      <w:bookmarkEnd w:id="306"/>
      <w:bookmarkStart w:id="307" w:name="_Toc51258906"/>
      <w:bookmarkEnd w:id="307"/>
      <w:bookmarkStart w:id="308" w:name="_Toc51258917"/>
      <w:bookmarkEnd w:id="308"/>
      <w:bookmarkStart w:id="309" w:name="_Toc51258944"/>
      <w:bookmarkEnd w:id="309"/>
      <w:bookmarkStart w:id="310" w:name="_Toc51258950"/>
      <w:bookmarkEnd w:id="310"/>
      <w:bookmarkStart w:id="311" w:name="_Toc51258912"/>
      <w:bookmarkEnd w:id="311"/>
      <w:bookmarkStart w:id="312" w:name="_Toc51258891"/>
      <w:bookmarkEnd w:id="312"/>
      <w:bookmarkStart w:id="313" w:name="_Toc51258939"/>
      <w:bookmarkEnd w:id="313"/>
      <w:bookmarkStart w:id="314" w:name="_Toc51258907"/>
      <w:bookmarkEnd w:id="314"/>
      <w:bookmarkStart w:id="315" w:name="_Toc51258935"/>
      <w:bookmarkEnd w:id="315"/>
      <w:bookmarkStart w:id="316" w:name="_Toc51258905"/>
      <w:bookmarkEnd w:id="316"/>
      <w:bookmarkStart w:id="317" w:name="_Toc51258918"/>
      <w:bookmarkEnd w:id="317"/>
      <w:bookmarkStart w:id="318" w:name="_Toc51258951"/>
      <w:bookmarkEnd w:id="318"/>
      <w:bookmarkStart w:id="319" w:name="_Toc51258889"/>
      <w:bookmarkEnd w:id="319"/>
      <w:bookmarkStart w:id="320" w:name="_Toc51258943"/>
      <w:bookmarkEnd w:id="320"/>
      <w:bookmarkStart w:id="321" w:name="_Toc51258955"/>
      <w:bookmarkEnd w:id="321"/>
      <w:bookmarkStart w:id="322" w:name="_Toc51258902"/>
      <w:bookmarkEnd w:id="322"/>
      <w:bookmarkStart w:id="323" w:name="_Toc51258922"/>
      <w:bookmarkEnd w:id="323"/>
      <w:bookmarkStart w:id="324" w:name="_Toc51258936"/>
      <w:bookmarkEnd w:id="324"/>
      <w:bookmarkStart w:id="325" w:name="_Toc51258937"/>
      <w:bookmarkEnd w:id="325"/>
      <w:bookmarkStart w:id="326" w:name="_Toc51258941"/>
      <w:bookmarkEnd w:id="326"/>
      <w:bookmarkStart w:id="327" w:name="_Toc51258893"/>
      <w:bookmarkEnd w:id="327"/>
      <w:bookmarkStart w:id="328" w:name="_Toc51258931"/>
      <w:bookmarkEnd w:id="328"/>
      <w:bookmarkStart w:id="329" w:name="_Toc51258946"/>
      <w:bookmarkEnd w:id="329"/>
      <w:bookmarkStart w:id="330" w:name="_Toc51258919"/>
      <w:bookmarkEnd w:id="330"/>
      <w:bookmarkStart w:id="331" w:name="_Toc51258921"/>
      <w:bookmarkEnd w:id="331"/>
      <w:bookmarkStart w:id="332" w:name="_Toc51277220"/>
      <w:bookmarkStart w:id="333" w:name="_Toc373951551"/>
      <w:bookmarkStart w:id="334" w:name="_Toc5580"/>
      <w:bookmarkStart w:id="335" w:name="_Ref169088813"/>
      <w:r>
        <w:rPr>
          <w:rFonts w:eastAsia="楷体_GB2312"/>
          <w:b/>
          <w:sz w:val="24"/>
        </w:rPr>
        <w:t>信托账</w:t>
      </w:r>
      <w:bookmarkEnd w:id="249"/>
      <w:bookmarkEnd w:id="250"/>
      <w:bookmarkEnd w:id="332"/>
      <w:bookmarkEnd w:id="333"/>
      <w:bookmarkEnd w:id="334"/>
      <w:bookmarkEnd w:id="335"/>
    </w:p>
    <w:p w14:paraId="78BD2CBD">
      <w:pPr>
        <w:spacing w:line="380" w:lineRule="atLeast"/>
        <w:rPr>
          <w:rFonts w:eastAsia="楷体_GB2312"/>
          <w:sz w:val="24"/>
        </w:rPr>
      </w:pPr>
    </w:p>
    <w:p w14:paraId="0C6A3B3C">
      <w:pPr>
        <w:numPr>
          <w:ilvl w:val="1"/>
          <w:numId w:val="4"/>
        </w:numPr>
        <w:spacing w:line="380" w:lineRule="atLeast"/>
        <w:outlineLvl w:val="1"/>
        <w:rPr>
          <w:rFonts w:eastAsia="楷体_GB2312"/>
          <w:b/>
          <w:sz w:val="24"/>
        </w:rPr>
      </w:pPr>
      <w:bookmarkStart w:id="336" w:name="_Toc120280684"/>
      <w:r>
        <w:rPr>
          <w:rFonts w:eastAsia="楷体_GB2312"/>
          <w:b/>
          <w:sz w:val="24"/>
        </w:rPr>
        <w:t>信托账的设立</w:t>
      </w:r>
      <w:bookmarkEnd w:id="336"/>
    </w:p>
    <w:p w14:paraId="626F27EA">
      <w:pPr>
        <w:spacing w:line="380" w:lineRule="atLeast"/>
        <w:rPr>
          <w:rFonts w:eastAsia="楷体_GB2312"/>
          <w:b/>
          <w:sz w:val="24"/>
        </w:rPr>
      </w:pPr>
    </w:p>
    <w:p w14:paraId="5D5B21E9">
      <w:pPr>
        <w:numPr>
          <w:ilvl w:val="2"/>
          <w:numId w:val="4"/>
        </w:numPr>
        <w:tabs>
          <w:tab w:val="left" w:pos="900"/>
        </w:tabs>
        <w:spacing w:line="380" w:lineRule="atLeast"/>
        <w:ind w:left="1620" w:hanging="769"/>
        <w:rPr>
          <w:rFonts w:eastAsia="楷体_GB2312"/>
          <w:b/>
          <w:sz w:val="24"/>
        </w:rPr>
      </w:pPr>
      <w:r>
        <w:rPr>
          <w:rFonts w:eastAsia="楷体_GB2312"/>
          <w:sz w:val="24"/>
        </w:rPr>
        <w:t>在“信托”生效后，“受托人”将设立“信托账”，用以记录“信托财产收益”的收支情况，并在“信托账”下设立四个子账，即“收益账”、“本金账”、“税收专用账”和“储备金账”（如有）</w:t>
      </w:r>
    </w:p>
    <w:p w14:paraId="0C30C2B0">
      <w:pPr>
        <w:tabs>
          <w:tab w:val="left" w:pos="425"/>
          <w:tab w:val="left" w:pos="900"/>
          <w:tab w:val="left" w:pos="1571"/>
        </w:tabs>
        <w:spacing w:line="380" w:lineRule="atLeast"/>
        <w:ind w:left="1620"/>
        <w:rPr>
          <w:rFonts w:eastAsia="楷体_GB2312"/>
          <w:b/>
          <w:i/>
          <w:iCs/>
          <w:color w:val="FF0000"/>
          <w:sz w:val="24"/>
        </w:rPr>
      </w:pPr>
      <w:r>
        <w:rPr>
          <w:rFonts w:eastAsia="楷体_GB2312"/>
          <w:b/>
          <w:i/>
          <w:iCs/>
          <w:color w:val="FF0000"/>
          <w:sz w:val="24"/>
        </w:rPr>
        <w:t>【注：一般而言，收益账、本金账以及税收专用账为基本账户设置安排，针对每个项目可根据项目情况增设储备账户</w:t>
      </w:r>
      <w:r>
        <w:rPr>
          <w:rFonts w:hint="eastAsia" w:eastAsia="楷体_GB2312"/>
          <w:b/>
          <w:i/>
          <w:iCs/>
          <w:color w:val="FF0000"/>
          <w:sz w:val="24"/>
        </w:rPr>
        <w:t>，</w:t>
      </w:r>
      <w:r>
        <w:rPr>
          <w:rFonts w:eastAsia="楷体_GB2312"/>
          <w:b/>
          <w:bCs/>
          <w:i/>
          <w:iCs/>
          <w:color w:val="FF0000"/>
          <w:sz w:val="24"/>
        </w:rPr>
        <w:t>账户设置可视项目实际情况调整。</w:t>
      </w:r>
      <w:r>
        <w:rPr>
          <w:rFonts w:eastAsia="楷体_GB2312"/>
          <w:b/>
          <w:i/>
          <w:iCs/>
          <w:color w:val="FF0000"/>
          <w:sz w:val="24"/>
        </w:rPr>
        <w:t>】</w:t>
      </w:r>
    </w:p>
    <w:p w14:paraId="45A981A6">
      <w:pPr>
        <w:spacing w:line="380" w:lineRule="atLeast"/>
        <w:rPr>
          <w:rFonts w:eastAsia="楷体_GB2312"/>
          <w:b/>
          <w:i/>
          <w:iCs/>
          <w:color w:val="FF0000"/>
          <w:sz w:val="24"/>
        </w:rPr>
      </w:pPr>
    </w:p>
    <w:p w14:paraId="12DFA17D">
      <w:pPr>
        <w:numPr>
          <w:ilvl w:val="2"/>
          <w:numId w:val="4"/>
        </w:numPr>
        <w:tabs>
          <w:tab w:val="left" w:pos="900"/>
        </w:tabs>
        <w:spacing w:line="380" w:lineRule="atLeast"/>
        <w:ind w:left="1620" w:hanging="769"/>
        <w:rPr>
          <w:rFonts w:eastAsia="楷体_GB2312"/>
          <w:b/>
          <w:sz w:val="24"/>
        </w:rPr>
      </w:pPr>
      <w:r>
        <w:rPr>
          <w:rFonts w:eastAsia="楷体_GB2312"/>
          <w:sz w:val="24"/>
        </w:rPr>
        <w:t>除“贷款服务机构”</w:t>
      </w:r>
      <w:r>
        <w:rPr>
          <w:rFonts w:eastAsia="楷体_GB2312"/>
          <w:bCs/>
          <w:sz w:val="24"/>
        </w:rPr>
        <w:t>“资产服务费”</w:t>
      </w:r>
      <w:r>
        <w:rPr>
          <w:rFonts w:eastAsia="楷体_GB2312"/>
          <w:sz w:val="24"/>
        </w:rPr>
        <w:t>外，“信托账户”内的资金所产生的利息由“资金保管机构”根据“《资金保管合同》”的约定于每个“资金保管机构结息日”予以结息，并于“资金保管机构结息日”后的第一个“工作日”记入“收益账”。</w:t>
      </w:r>
    </w:p>
    <w:p w14:paraId="2842E645">
      <w:pPr>
        <w:pStyle w:val="78"/>
        <w:ind w:firstLine="482"/>
        <w:rPr>
          <w:rFonts w:eastAsia="楷体_GB2312"/>
          <w:b/>
          <w:sz w:val="24"/>
        </w:rPr>
      </w:pPr>
    </w:p>
    <w:p w14:paraId="29889ED6">
      <w:pPr>
        <w:numPr>
          <w:ilvl w:val="2"/>
          <w:numId w:val="4"/>
        </w:numPr>
        <w:tabs>
          <w:tab w:val="left" w:pos="900"/>
        </w:tabs>
        <w:spacing w:line="380" w:lineRule="atLeast"/>
        <w:ind w:left="1620" w:hanging="769"/>
        <w:rPr>
          <w:rFonts w:eastAsia="楷体_GB2312"/>
          <w:sz w:val="24"/>
        </w:rPr>
      </w:pPr>
      <w:r>
        <w:rPr>
          <w:rFonts w:eastAsia="楷体_GB2312"/>
          <w:sz w:val="24"/>
        </w:rPr>
        <w:t>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条计提的“贷款服务机构”</w:t>
      </w:r>
      <w:r>
        <w:rPr>
          <w:rFonts w:eastAsia="楷体_GB2312"/>
          <w:bCs/>
          <w:sz w:val="24"/>
        </w:rPr>
        <w:t>“资产服务费”</w:t>
      </w:r>
      <w:r>
        <w:rPr>
          <w:rFonts w:eastAsia="楷体_GB2312"/>
          <w:sz w:val="24"/>
        </w:rPr>
        <w:t>所产生的利息不属于“信托财产”，应由“资金保管机构”根据“《资金保管合同》”的约定按照“信托账户”【活期存款】利率计息，并按照“《贷款服务机构收费函》”的约定支付给“贷款服务机构”。</w:t>
      </w:r>
    </w:p>
    <w:p w14:paraId="7942534D">
      <w:pPr>
        <w:pStyle w:val="78"/>
        <w:ind w:firstLine="480"/>
        <w:rPr>
          <w:rFonts w:eastAsia="楷体_GB2312"/>
          <w:sz w:val="24"/>
        </w:rPr>
      </w:pPr>
    </w:p>
    <w:p w14:paraId="0082AFD5">
      <w:pPr>
        <w:numPr>
          <w:ilvl w:val="1"/>
          <w:numId w:val="4"/>
        </w:numPr>
        <w:spacing w:line="380" w:lineRule="atLeast"/>
        <w:outlineLvl w:val="1"/>
        <w:rPr>
          <w:rFonts w:eastAsia="楷体_GB2312"/>
          <w:b/>
          <w:sz w:val="24"/>
        </w:rPr>
      </w:pPr>
      <w:bookmarkStart w:id="337" w:name="_Toc150895712"/>
      <w:bookmarkEnd w:id="337"/>
      <w:r>
        <w:rPr>
          <w:rFonts w:eastAsia="楷体_GB2312"/>
          <w:b/>
          <w:sz w:val="24"/>
        </w:rPr>
        <w:t>信托账下资金收入来源</w:t>
      </w:r>
    </w:p>
    <w:p w14:paraId="30A01F6C">
      <w:pPr>
        <w:spacing w:line="380" w:lineRule="atLeast"/>
        <w:rPr>
          <w:rFonts w:eastAsia="楷体_GB2312"/>
          <w:b/>
          <w:sz w:val="24"/>
        </w:rPr>
      </w:pPr>
    </w:p>
    <w:p w14:paraId="09E2500D">
      <w:pPr>
        <w:numPr>
          <w:ilvl w:val="2"/>
          <w:numId w:val="4"/>
        </w:numPr>
        <w:tabs>
          <w:tab w:val="left" w:pos="900"/>
        </w:tabs>
        <w:spacing w:line="380" w:lineRule="atLeast"/>
        <w:ind w:left="1620" w:hanging="769"/>
        <w:rPr>
          <w:rFonts w:eastAsia="楷体_GB2312"/>
          <w:b/>
          <w:sz w:val="24"/>
        </w:rPr>
      </w:pPr>
      <w:r>
        <w:rPr>
          <w:rFonts w:eastAsia="楷体_GB2312"/>
          <w:b/>
          <w:sz w:val="24"/>
        </w:rPr>
        <w:t>收益账项下资金来源</w:t>
      </w:r>
    </w:p>
    <w:p w14:paraId="4A25AB39">
      <w:pPr>
        <w:spacing w:line="380" w:lineRule="atLeast"/>
        <w:rPr>
          <w:rFonts w:eastAsia="楷体_GB2312"/>
          <w:b/>
          <w:sz w:val="24"/>
        </w:rPr>
      </w:pPr>
    </w:p>
    <w:p w14:paraId="22267726">
      <w:pPr>
        <w:spacing w:line="380" w:lineRule="atLeast"/>
        <w:ind w:left="1482" w:leftChars="741"/>
        <w:rPr>
          <w:rFonts w:eastAsia="楷体_GB2312"/>
          <w:b/>
          <w:sz w:val="24"/>
        </w:rPr>
      </w:pPr>
      <w:r>
        <w:rPr>
          <w:rFonts w:eastAsia="楷体_GB2312"/>
          <w:sz w:val="24"/>
        </w:rPr>
        <w:t>“收益账”项下资金来源：</w:t>
      </w:r>
      <w:r>
        <w:rPr>
          <w:rFonts w:eastAsia="楷体_GB2312"/>
          <w:bCs/>
          <w:sz w:val="24"/>
        </w:rPr>
        <w:t>(a</w:t>
      </w:r>
      <w:r>
        <w:rPr>
          <w:rFonts w:eastAsia="楷体_GB2312"/>
          <w:sz w:val="24"/>
        </w:rPr>
        <w:t>)“收入回收款”；</w:t>
      </w:r>
      <w:r>
        <w:rPr>
          <w:rFonts w:eastAsia="楷体_GB2312"/>
          <w:bCs/>
          <w:sz w:val="24"/>
        </w:rPr>
        <w:t>(</w:t>
      </w:r>
      <w:r>
        <w:rPr>
          <w:rFonts w:eastAsia="楷体_GB2312"/>
          <w:sz w:val="24"/>
        </w:rPr>
        <w:t>b)按照本合同第</w:t>
      </w:r>
      <w:r>
        <w:rPr>
          <w:rFonts w:eastAsia="楷体_GB2312"/>
          <w:sz w:val="24"/>
        </w:rPr>
        <w:fldChar w:fldCharType="begin"/>
      </w:r>
      <w:r>
        <w:rPr>
          <w:rFonts w:eastAsia="楷体_GB2312"/>
          <w:sz w:val="24"/>
        </w:rPr>
        <w:instrText xml:space="preserve"> REF _Ref51344664 \r \h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w:t>
      </w:r>
      <w:r>
        <w:rPr>
          <w:rFonts w:hint="eastAsia" w:eastAsia="楷体_GB2312"/>
          <w:sz w:val="24"/>
        </w:rPr>
        <w:t>第(1)项</w:t>
      </w:r>
      <w:r>
        <w:rPr>
          <w:rFonts w:eastAsia="楷体_GB2312"/>
          <w:sz w:val="24"/>
        </w:rPr>
        <w:t>的约定由“本金账”转入的资金；</w:t>
      </w:r>
      <w:r>
        <w:rPr>
          <w:rFonts w:eastAsia="楷体_GB2312"/>
          <w:bCs/>
          <w:sz w:val="24"/>
        </w:rPr>
        <w:t>(</w:t>
      </w:r>
      <w:r>
        <w:rPr>
          <w:rFonts w:eastAsia="楷体_GB2312"/>
          <w:sz w:val="24"/>
        </w:rPr>
        <w:t>c)按照本合同第</w:t>
      </w:r>
      <w:r>
        <w:rPr>
          <w:rFonts w:eastAsia="楷体_GB2312"/>
          <w:sz w:val="24"/>
        </w:rPr>
        <w:fldChar w:fldCharType="begin"/>
      </w:r>
      <w:r>
        <w:rPr>
          <w:rFonts w:eastAsia="楷体_GB2312"/>
          <w:sz w:val="24"/>
        </w:rPr>
        <w:instrText xml:space="preserve"> REF _Ref221699489 \r \h </w:instrText>
      </w:r>
      <w:r>
        <w:rPr>
          <w:rFonts w:eastAsia="楷体_GB2312"/>
          <w:sz w:val="24"/>
        </w:rPr>
        <w:fldChar w:fldCharType="separate"/>
      </w:r>
      <w:r>
        <w:rPr>
          <w:rFonts w:eastAsia="楷体_GB2312"/>
          <w:sz w:val="24"/>
        </w:rPr>
        <w:t>10.7</w:t>
      </w:r>
      <w:r>
        <w:rPr>
          <w:rFonts w:eastAsia="楷体_GB2312"/>
          <w:sz w:val="24"/>
        </w:rPr>
        <w:fldChar w:fldCharType="end"/>
      </w:r>
      <w:r>
        <w:rPr>
          <w:rFonts w:eastAsia="楷体_GB2312"/>
          <w:sz w:val="24"/>
        </w:rPr>
        <w:t>款的约定从“储备</w:t>
      </w:r>
      <w:r>
        <w:rPr>
          <w:rFonts w:hint="eastAsia" w:eastAsia="楷体_GB2312"/>
          <w:sz w:val="24"/>
        </w:rPr>
        <w:t>金</w:t>
      </w:r>
      <w:r>
        <w:rPr>
          <w:rFonts w:eastAsia="楷体_GB2312"/>
          <w:sz w:val="24"/>
        </w:rPr>
        <w:t>账”转入的资金；以及</w:t>
      </w:r>
      <w:r>
        <w:rPr>
          <w:rFonts w:eastAsia="楷体_GB2312"/>
          <w:bCs/>
          <w:sz w:val="24"/>
        </w:rPr>
        <w:t>(</w:t>
      </w:r>
      <w:r>
        <w:rPr>
          <w:rFonts w:eastAsia="楷体_GB2312"/>
          <w:sz w:val="24"/>
        </w:rPr>
        <w:t>d)按照本合同第</w:t>
      </w:r>
      <w:r>
        <w:rPr>
          <w:rFonts w:eastAsia="楷体_GB2312"/>
        </w:rPr>
        <w:fldChar w:fldCharType="begin"/>
      </w:r>
      <w:r>
        <w:rPr>
          <w:rFonts w:eastAsia="楷体_GB2312"/>
        </w:rPr>
        <w:instrText xml:space="preserve"> REF _Ref331774002 \r \h  \* MERGEFORMAT </w:instrText>
      </w:r>
      <w:r>
        <w:rPr>
          <w:rFonts w:eastAsia="楷体_GB2312"/>
        </w:rPr>
        <w:fldChar w:fldCharType="separate"/>
      </w:r>
      <w:r>
        <w:rPr>
          <w:rFonts w:eastAsia="楷体_GB2312"/>
          <w:sz w:val="24"/>
        </w:rPr>
        <w:t>10.6.2</w:t>
      </w:r>
      <w:r>
        <w:rPr>
          <w:rFonts w:eastAsia="楷体_GB2312"/>
        </w:rPr>
        <w:fldChar w:fldCharType="end"/>
      </w:r>
      <w:r>
        <w:rPr>
          <w:rFonts w:eastAsia="楷体_GB2312"/>
          <w:sz w:val="24"/>
        </w:rPr>
        <w:t>款的约定从“税收专用账”转入的资金。</w:t>
      </w:r>
    </w:p>
    <w:p w14:paraId="38B5A8E6">
      <w:pPr>
        <w:spacing w:line="380" w:lineRule="atLeast"/>
        <w:rPr>
          <w:rFonts w:eastAsia="楷体_GB2312"/>
          <w:sz w:val="24"/>
        </w:rPr>
      </w:pPr>
    </w:p>
    <w:p w14:paraId="2C1D4CF5">
      <w:pPr>
        <w:numPr>
          <w:ilvl w:val="2"/>
          <w:numId w:val="4"/>
        </w:numPr>
        <w:tabs>
          <w:tab w:val="left" w:pos="900"/>
        </w:tabs>
        <w:spacing w:line="380" w:lineRule="atLeast"/>
        <w:ind w:left="1620" w:hanging="769"/>
        <w:rPr>
          <w:rFonts w:eastAsia="楷体_GB2312"/>
          <w:b/>
          <w:sz w:val="24"/>
        </w:rPr>
      </w:pPr>
      <w:bookmarkStart w:id="338" w:name="_Ref110420736"/>
      <w:r>
        <w:rPr>
          <w:rFonts w:eastAsia="楷体_GB2312"/>
          <w:b/>
          <w:sz w:val="24"/>
        </w:rPr>
        <w:t>本金账项下资金来源</w:t>
      </w:r>
    </w:p>
    <w:p w14:paraId="7B1E1ED4">
      <w:pPr>
        <w:spacing w:line="380" w:lineRule="atLeast"/>
        <w:rPr>
          <w:rFonts w:eastAsia="楷体_GB2312"/>
          <w:b/>
          <w:sz w:val="24"/>
        </w:rPr>
      </w:pPr>
    </w:p>
    <w:p w14:paraId="4D91A453">
      <w:pPr>
        <w:spacing w:line="380" w:lineRule="atLeast"/>
        <w:ind w:left="1482" w:leftChars="741"/>
        <w:rPr>
          <w:rFonts w:eastAsia="楷体_GB2312"/>
          <w:b/>
          <w:sz w:val="24"/>
        </w:rPr>
      </w:pPr>
      <w:r>
        <w:rPr>
          <w:rFonts w:eastAsia="楷体_GB2312"/>
          <w:sz w:val="24"/>
        </w:rPr>
        <w:t>“本金账”项下资金来源：</w:t>
      </w:r>
      <w:bookmarkEnd w:id="338"/>
      <w:r>
        <w:rPr>
          <w:rFonts w:eastAsia="楷体_GB2312"/>
          <w:bCs/>
          <w:sz w:val="24"/>
        </w:rPr>
        <w:t>(</w:t>
      </w:r>
      <w:r>
        <w:rPr>
          <w:rFonts w:eastAsia="楷体_GB2312"/>
          <w:sz w:val="24"/>
        </w:rPr>
        <w:t>a)“本金回收款”；</w:t>
      </w:r>
      <w:r>
        <w:rPr>
          <w:rFonts w:eastAsia="楷体_GB2312"/>
          <w:bCs/>
          <w:sz w:val="24"/>
        </w:rPr>
        <w:t>(</w:t>
      </w:r>
      <w:r>
        <w:rPr>
          <w:rFonts w:eastAsia="楷体_GB2312"/>
          <w:sz w:val="24"/>
        </w:rPr>
        <w:t>b)按照本合同第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第(8)项</w:t>
      </w:r>
      <w:r>
        <w:rPr>
          <w:rFonts w:eastAsia="楷体_GB2312"/>
          <w:sz w:val="24"/>
        </w:rPr>
        <w:t>的约定由“收益账”转入的资金；</w:t>
      </w:r>
      <w:r>
        <w:rPr>
          <w:rFonts w:eastAsia="楷体_GB2312"/>
          <w:bCs/>
          <w:sz w:val="24"/>
        </w:rPr>
        <w:t>(</w:t>
      </w:r>
      <w:r>
        <w:rPr>
          <w:rFonts w:eastAsia="楷体_GB2312"/>
          <w:sz w:val="24"/>
        </w:rPr>
        <w:t>c)按照本合同第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第(10)项</w:t>
      </w:r>
      <w:r>
        <w:rPr>
          <w:rFonts w:eastAsia="楷体_GB2312"/>
          <w:sz w:val="24"/>
        </w:rPr>
        <w:t>的约定由“收益账”转入的资金；以及</w:t>
      </w:r>
      <w:r>
        <w:rPr>
          <w:rFonts w:eastAsia="楷体_GB2312"/>
          <w:bCs/>
          <w:sz w:val="24"/>
        </w:rPr>
        <w:t>(</w:t>
      </w:r>
      <w:r>
        <w:rPr>
          <w:rFonts w:eastAsia="楷体_GB2312"/>
          <w:sz w:val="24"/>
        </w:rPr>
        <w:t>d)按照本合同第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第(12)项</w:t>
      </w:r>
      <w:r>
        <w:rPr>
          <w:rFonts w:eastAsia="楷体_GB2312"/>
          <w:sz w:val="24"/>
        </w:rPr>
        <w:t>的约定由“收益账”转入的资金。</w:t>
      </w:r>
    </w:p>
    <w:p w14:paraId="6759E0FD">
      <w:pPr>
        <w:spacing w:line="380" w:lineRule="atLeast"/>
        <w:rPr>
          <w:rFonts w:eastAsia="楷体_GB2312"/>
          <w:b/>
          <w:sz w:val="24"/>
        </w:rPr>
      </w:pPr>
    </w:p>
    <w:p w14:paraId="7E1925C5">
      <w:pPr>
        <w:numPr>
          <w:ilvl w:val="2"/>
          <w:numId w:val="4"/>
        </w:numPr>
        <w:spacing w:line="380" w:lineRule="atLeast"/>
        <w:rPr>
          <w:rFonts w:eastAsia="楷体_GB2312"/>
          <w:b/>
          <w:sz w:val="24"/>
        </w:rPr>
      </w:pPr>
      <w:r>
        <w:rPr>
          <w:rFonts w:eastAsia="楷体_GB2312"/>
          <w:b/>
          <w:sz w:val="24"/>
        </w:rPr>
        <w:t>税收专用账项下资金的来源</w:t>
      </w:r>
    </w:p>
    <w:p w14:paraId="25CAEAEF">
      <w:pPr>
        <w:spacing w:line="380" w:lineRule="atLeast"/>
        <w:ind w:left="851"/>
        <w:rPr>
          <w:rFonts w:eastAsia="楷体_GB2312"/>
          <w:b/>
          <w:sz w:val="24"/>
        </w:rPr>
      </w:pPr>
    </w:p>
    <w:p w14:paraId="74A389BE">
      <w:pPr>
        <w:spacing w:line="380" w:lineRule="atLeast"/>
        <w:ind w:left="1482" w:leftChars="741"/>
        <w:rPr>
          <w:rFonts w:eastAsia="楷体_GB2312"/>
          <w:sz w:val="24"/>
        </w:rPr>
      </w:pPr>
      <w:r>
        <w:rPr>
          <w:rFonts w:eastAsia="楷体_GB2312"/>
          <w:sz w:val="24"/>
        </w:rPr>
        <w:t>“税收专用账”项下资金的来源为：</w:t>
      </w:r>
      <w:r>
        <w:rPr>
          <w:rFonts w:eastAsia="楷体_GB2312"/>
          <w:bCs/>
          <w:sz w:val="24"/>
        </w:rPr>
        <w:t>(</w:t>
      </w:r>
      <w:r>
        <w:rPr>
          <w:rFonts w:eastAsia="楷体_GB2312"/>
          <w:sz w:val="24"/>
        </w:rPr>
        <w:t>a)按照本合同第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第(1)项</w:t>
      </w:r>
      <w:r>
        <w:rPr>
          <w:rFonts w:eastAsia="楷体_GB2312"/>
          <w:sz w:val="24"/>
        </w:rPr>
        <w:t>的约定由“收益账”转入的资金；以及</w:t>
      </w:r>
      <w:r>
        <w:rPr>
          <w:rFonts w:eastAsia="楷体_GB2312"/>
          <w:bCs/>
          <w:sz w:val="24"/>
        </w:rPr>
        <w:t>(</w:t>
      </w:r>
      <w:r>
        <w:rPr>
          <w:rFonts w:eastAsia="楷体_GB2312"/>
          <w:sz w:val="24"/>
        </w:rPr>
        <w:t>b)按照本合同第</w:t>
      </w:r>
      <w:r>
        <w:rPr>
          <w:rFonts w:eastAsia="楷体_GB2312"/>
        </w:rPr>
        <w:fldChar w:fldCharType="begin"/>
      </w:r>
      <w:r>
        <w:rPr>
          <w:rFonts w:eastAsia="楷体_GB2312"/>
        </w:rPr>
        <w:instrText xml:space="preserve"> REF _Ref150893330 \r \h  \* MERGEFORMAT </w:instrText>
      </w:r>
      <w:r>
        <w:rPr>
          <w:rFonts w:eastAsia="楷体_GB2312"/>
        </w:rPr>
        <w:fldChar w:fldCharType="separate"/>
      </w:r>
      <w:r>
        <w:rPr>
          <w:rFonts w:eastAsia="楷体_GB2312"/>
          <w:sz w:val="24"/>
        </w:rPr>
        <w:t>10.5.1</w:t>
      </w:r>
      <w:r>
        <w:rPr>
          <w:rFonts w:eastAsia="楷体_GB2312"/>
        </w:rPr>
        <w:fldChar w:fldCharType="end"/>
      </w:r>
      <w:r>
        <w:rPr>
          <w:rFonts w:eastAsia="楷体_GB2312"/>
          <w:sz w:val="24"/>
        </w:rPr>
        <w:t>款的约定转入的资金。</w:t>
      </w:r>
    </w:p>
    <w:p w14:paraId="40E843B2">
      <w:pPr>
        <w:spacing w:line="380" w:lineRule="atLeast"/>
        <w:ind w:left="1482" w:leftChars="741"/>
        <w:rPr>
          <w:rFonts w:eastAsia="楷体_GB2312"/>
          <w:sz w:val="24"/>
        </w:rPr>
      </w:pPr>
    </w:p>
    <w:p w14:paraId="2979DF4E">
      <w:pPr>
        <w:numPr>
          <w:ilvl w:val="2"/>
          <w:numId w:val="4"/>
        </w:numPr>
        <w:spacing w:line="380" w:lineRule="atLeast"/>
        <w:rPr>
          <w:rFonts w:eastAsia="楷体_GB2312"/>
          <w:b/>
          <w:sz w:val="24"/>
        </w:rPr>
      </w:pPr>
      <w:r>
        <w:rPr>
          <w:rFonts w:eastAsia="楷体_GB2312"/>
          <w:b/>
          <w:sz w:val="24"/>
        </w:rPr>
        <w:t>储备金账项下资金的来源</w:t>
      </w:r>
    </w:p>
    <w:p w14:paraId="43786C6E">
      <w:pPr>
        <w:spacing w:line="380" w:lineRule="atLeast"/>
        <w:ind w:left="1418"/>
        <w:rPr>
          <w:rFonts w:eastAsia="楷体_GB2312"/>
          <w:b/>
          <w:sz w:val="24"/>
        </w:rPr>
      </w:pPr>
    </w:p>
    <w:p w14:paraId="7DE4A188">
      <w:pPr>
        <w:spacing w:line="380" w:lineRule="atLeast"/>
        <w:ind w:left="1482" w:leftChars="741"/>
        <w:rPr>
          <w:rFonts w:eastAsia="楷体_GB2312"/>
          <w:sz w:val="24"/>
        </w:rPr>
      </w:pPr>
      <w:r>
        <w:rPr>
          <w:rFonts w:eastAsia="楷体_GB2312"/>
          <w:sz w:val="24"/>
        </w:rPr>
        <w:t>“储备金账”项下资金的来源为按照本合同第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第(4)项</w:t>
      </w:r>
      <w:r>
        <w:rPr>
          <w:rFonts w:eastAsia="楷体_GB2312"/>
          <w:sz w:val="24"/>
        </w:rPr>
        <w:t>由“收益账”转入的资金。</w:t>
      </w:r>
    </w:p>
    <w:p w14:paraId="4715DBFC">
      <w:pPr>
        <w:tabs>
          <w:tab w:val="left" w:pos="2700"/>
        </w:tabs>
        <w:spacing w:line="380" w:lineRule="atLeast"/>
        <w:rPr>
          <w:rFonts w:eastAsia="楷体_GB2312"/>
          <w:b/>
          <w:sz w:val="24"/>
        </w:rPr>
      </w:pPr>
    </w:p>
    <w:p w14:paraId="2CA53CDF">
      <w:pPr>
        <w:numPr>
          <w:ilvl w:val="1"/>
          <w:numId w:val="4"/>
        </w:numPr>
        <w:spacing w:line="380" w:lineRule="atLeast"/>
        <w:outlineLvl w:val="1"/>
        <w:rPr>
          <w:rFonts w:eastAsia="楷体_GB2312"/>
          <w:b/>
          <w:sz w:val="24"/>
        </w:rPr>
      </w:pPr>
      <w:bookmarkStart w:id="339" w:name="_Toc111281799"/>
      <w:bookmarkStart w:id="340" w:name="_Ref110415319"/>
      <w:bookmarkStart w:id="341" w:name="_Toc120280686"/>
      <w:r>
        <w:rPr>
          <w:rFonts w:eastAsia="楷体_GB2312"/>
          <w:b/>
          <w:sz w:val="24"/>
        </w:rPr>
        <w:t>信托账项下资金的</w:t>
      </w:r>
      <w:bookmarkEnd w:id="339"/>
      <w:r>
        <w:rPr>
          <w:rFonts w:eastAsia="楷体_GB2312"/>
          <w:b/>
          <w:sz w:val="24"/>
        </w:rPr>
        <w:t>核算与支付</w:t>
      </w:r>
      <w:bookmarkEnd w:id="340"/>
      <w:bookmarkEnd w:id="341"/>
    </w:p>
    <w:p w14:paraId="5A1D072F">
      <w:pPr>
        <w:spacing w:line="360" w:lineRule="auto"/>
        <w:ind w:firstLine="420"/>
        <w:rPr>
          <w:rFonts w:eastAsia="楷体_GB2312"/>
          <w:b/>
          <w:i/>
          <w:iCs/>
          <w:color w:val="FF0000"/>
          <w:sz w:val="24"/>
        </w:rPr>
      </w:pPr>
      <w:r>
        <w:rPr>
          <w:rFonts w:eastAsia="楷体_GB2312"/>
          <w:b/>
          <w:bCs/>
          <w:i/>
          <w:iCs/>
          <w:color w:val="FF0000"/>
          <w:kern w:val="2"/>
          <w:sz w:val="24"/>
          <w:szCs w:val="24"/>
        </w:rPr>
        <w:t>【注：信托账项下资金的核算与</w:t>
      </w:r>
      <w:r>
        <w:rPr>
          <w:rFonts w:hint="eastAsia" w:eastAsia="楷体_GB2312"/>
          <w:b/>
          <w:bCs/>
          <w:i/>
          <w:iCs/>
          <w:color w:val="FF0000"/>
          <w:kern w:val="2"/>
          <w:sz w:val="24"/>
          <w:szCs w:val="24"/>
        </w:rPr>
        <w:t>支付</w:t>
      </w:r>
      <w:r>
        <w:rPr>
          <w:rFonts w:eastAsia="楷体_GB2312"/>
          <w:b/>
          <w:bCs/>
          <w:i/>
          <w:iCs/>
          <w:color w:val="FF0000"/>
          <w:kern w:val="2"/>
          <w:sz w:val="24"/>
          <w:szCs w:val="24"/>
        </w:rPr>
        <w:t>时间可根据证券分层和实际情况调整。】</w:t>
      </w:r>
    </w:p>
    <w:p w14:paraId="26A97D8D">
      <w:pPr>
        <w:pStyle w:val="78"/>
        <w:spacing w:line="360" w:lineRule="auto"/>
        <w:ind w:left="425" w:firstLine="0" w:firstLineChars="0"/>
        <w:rPr>
          <w:rFonts w:eastAsia="楷体_GB2312"/>
          <w:b/>
          <w:i/>
          <w:iCs/>
          <w:color w:val="FF0000"/>
          <w:sz w:val="24"/>
        </w:rPr>
      </w:pPr>
    </w:p>
    <w:p w14:paraId="4F425E24">
      <w:pPr>
        <w:numPr>
          <w:ilvl w:val="2"/>
          <w:numId w:val="4"/>
        </w:numPr>
        <w:tabs>
          <w:tab w:val="left" w:pos="900"/>
        </w:tabs>
        <w:spacing w:line="380" w:lineRule="atLeast"/>
        <w:ind w:left="1620" w:hanging="769"/>
        <w:rPr>
          <w:rFonts w:eastAsia="楷体_GB2312"/>
          <w:sz w:val="24"/>
        </w:rPr>
      </w:pPr>
      <w:r>
        <w:rPr>
          <w:rFonts w:eastAsia="楷体_GB2312"/>
          <w:sz w:val="24"/>
        </w:rPr>
        <w:t>“受托人”应于每个“信托利益核算日”核算“信托账户”及各“信托账”项下资金，并按照本合同第</w:t>
      </w:r>
      <w:r>
        <w:rPr>
          <w:rFonts w:eastAsia="楷体_GB2312"/>
        </w:rPr>
        <w:fldChar w:fldCharType="begin"/>
      </w:r>
      <w:r>
        <w:rPr>
          <w:rFonts w:eastAsia="楷体_GB2312"/>
        </w:rPr>
        <w:instrText xml:space="preserve"> REF _Ref180850300 \r \h  \* MERGEFORMAT </w:instrText>
      </w:r>
      <w:r>
        <w:rPr>
          <w:rFonts w:eastAsia="楷体_GB2312"/>
        </w:rPr>
        <w:fldChar w:fldCharType="separate"/>
      </w:r>
      <w:r>
        <w:rPr>
          <w:rFonts w:eastAsia="楷体_GB2312"/>
          <w:sz w:val="24"/>
        </w:rPr>
        <w:t>10.4</w:t>
      </w:r>
      <w:r>
        <w:rPr>
          <w:rFonts w:eastAsia="楷体_GB2312"/>
        </w:rPr>
        <w:fldChar w:fldCharType="end"/>
      </w:r>
      <w:r>
        <w:rPr>
          <w:rFonts w:eastAsia="楷体_GB2312"/>
          <w:sz w:val="24"/>
        </w:rPr>
        <w:t>款、第</w:t>
      </w:r>
      <w:r>
        <w:rPr>
          <w:rFonts w:eastAsia="楷体_GB2312"/>
          <w:sz w:val="24"/>
        </w:rPr>
        <w:fldChar w:fldCharType="begin"/>
      </w:r>
      <w:r>
        <w:rPr>
          <w:rFonts w:eastAsia="楷体_GB2312"/>
          <w:sz w:val="24"/>
        </w:rPr>
        <w:instrText xml:space="preserve"> REF _Ref180850304 \r \h </w:instrText>
      </w:r>
      <w:r>
        <w:rPr>
          <w:rFonts w:eastAsia="楷体_GB2312"/>
          <w:sz w:val="24"/>
        </w:rPr>
        <w:fldChar w:fldCharType="separate"/>
      </w:r>
      <w:r>
        <w:rPr>
          <w:rFonts w:eastAsia="楷体_GB2312"/>
          <w:sz w:val="24"/>
        </w:rPr>
        <w:t>10.5</w:t>
      </w:r>
      <w:r>
        <w:rPr>
          <w:rFonts w:eastAsia="楷体_GB2312"/>
          <w:sz w:val="24"/>
        </w:rPr>
        <w:fldChar w:fldCharType="end"/>
      </w:r>
      <w:r>
        <w:rPr>
          <w:rFonts w:eastAsia="楷体_GB2312"/>
          <w:sz w:val="24"/>
        </w:rPr>
        <w:t>款或第</w:t>
      </w:r>
      <w:r>
        <w:rPr>
          <w:rFonts w:eastAsia="楷体_GB2312"/>
          <w:sz w:val="24"/>
        </w:rPr>
        <w:fldChar w:fldCharType="begin"/>
      </w:r>
      <w:r>
        <w:rPr>
          <w:rFonts w:eastAsia="楷体_GB2312"/>
          <w:sz w:val="24"/>
        </w:rPr>
        <w:instrText xml:space="preserve"> REF _Ref51239192 \r \h </w:instrText>
      </w:r>
      <w:r>
        <w:rPr>
          <w:rFonts w:eastAsia="楷体_GB2312"/>
          <w:sz w:val="24"/>
        </w:rPr>
        <w:fldChar w:fldCharType="separate"/>
      </w:r>
      <w:r>
        <w:rPr>
          <w:rFonts w:eastAsia="楷体_GB2312"/>
          <w:sz w:val="24"/>
        </w:rPr>
        <w:t>10.8</w:t>
      </w:r>
      <w:r>
        <w:rPr>
          <w:rFonts w:eastAsia="楷体_GB2312"/>
          <w:sz w:val="24"/>
        </w:rPr>
        <w:fldChar w:fldCharType="end"/>
      </w:r>
      <w:r>
        <w:rPr>
          <w:rFonts w:eastAsia="楷体_GB2312"/>
          <w:sz w:val="24"/>
        </w:rPr>
        <w:t>款的约定进行相应的分配或运用</w:t>
      </w:r>
      <w:r>
        <w:rPr>
          <w:rFonts w:eastAsia="楷体_GB2312"/>
          <w:color w:val="000000"/>
          <w:sz w:val="24"/>
        </w:rPr>
        <w:t>，并于每个“信托利益核算日”向“资金保管机构”发送相应的“分配指令”</w:t>
      </w:r>
      <w:r>
        <w:rPr>
          <w:rFonts w:eastAsia="楷体_GB2312"/>
          <w:sz w:val="24"/>
        </w:rPr>
        <w:t>。</w:t>
      </w:r>
    </w:p>
    <w:p w14:paraId="402275B4">
      <w:pPr>
        <w:spacing w:line="380" w:lineRule="atLeast"/>
        <w:rPr>
          <w:rFonts w:eastAsia="楷体_GB2312"/>
          <w:sz w:val="24"/>
        </w:rPr>
      </w:pPr>
    </w:p>
    <w:p w14:paraId="050A4014">
      <w:pPr>
        <w:numPr>
          <w:ilvl w:val="2"/>
          <w:numId w:val="4"/>
        </w:numPr>
        <w:tabs>
          <w:tab w:val="left" w:pos="900"/>
        </w:tabs>
        <w:spacing w:line="380" w:lineRule="atLeast"/>
        <w:ind w:left="1620" w:hanging="769"/>
        <w:rPr>
          <w:rFonts w:eastAsia="楷体_GB2312"/>
          <w:sz w:val="24"/>
        </w:rPr>
      </w:pPr>
      <w:r>
        <w:rPr>
          <w:rFonts w:eastAsia="楷体_GB2312"/>
          <w:sz w:val="24"/>
        </w:rPr>
        <w:t>“受托人”应不晚于“受托机构报告日”按照本合同第</w:t>
      </w:r>
      <w:r>
        <w:rPr>
          <w:rFonts w:eastAsia="楷体_GB2312"/>
          <w:sz w:val="24"/>
        </w:rPr>
        <w:fldChar w:fldCharType="begin"/>
      </w:r>
      <w:r>
        <w:rPr>
          <w:rFonts w:eastAsia="楷体_GB2312"/>
          <w:sz w:val="24"/>
        </w:rPr>
        <w:instrText xml:space="preserve"> REF _Ref123037229 \r \h  \* MERGEFORMAT </w:instrText>
      </w:r>
      <w:r>
        <w:rPr>
          <w:rFonts w:eastAsia="楷体_GB2312"/>
          <w:sz w:val="24"/>
        </w:rPr>
        <w:fldChar w:fldCharType="separate"/>
      </w:r>
      <w:r>
        <w:rPr>
          <w:rFonts w:eastAsia="楷体_GB2312"/>
          <w:sz w:val="24"/>
        </w:rPr>
        <w:t>21</w:t>
      </w:r>
      <w:r>
        <w:rPr>
          <w:rFonts w:eastAsia="楷体_GB2312"/>
          <w:sz w:val="24"/>
        </w:rPr>
        <w:fldChar w:fldCharType="end"/>
      </w:r>
      <w:r>
        <w:rPr>
          <w:rFonts w:eastAsia="楷体_GB2312"/>
          <w:sz w:val="24"/>
        </w:rPr>
        <w:t>条的约定公布“受托机构报告”，并按“支付代理机构”要求通过“支付代理机构”电子化业务办理平台发送“资产支持证券”付息兑付或收益分配电子化指令；如发生技术故障等应急情形，“受托人”应当按“支付代理机构”的要求办理。</w:t>
      </w:r>
    </w:p>
    <w:p w14:paraId="7548EFE4">
      <w:pPr>
        <w:spacing w:line="360" w:lineRule="auto"/>
        <w:ind w:left="851"/>
        <w:rPr>
          <w:rFonts w:eastAsia="楷体_GB2312"/>
          <w:color w:val="000000"/>
          <w:sz w:val="24"/>
        </w:rPr>
      </w:pPr>
    </w:p>
    <w:p w14:paraId="0A27F99D">
      <w:pPr>
        <w:numPr>
          <w:ilvl w:val="2"/>
          <w:numId w:val="4"/>
        </w:numPr>
        <w:tabs>
          <w:tab w:val="left" w:pos="900"/>
        </w:tabs>
        <w:spacing w:line="380" w:lineRule="atLeast"/>
        <w:ind w:left="1620" w:hanging="769"/>
        <w:rPr>
          <w:rFonts w:eastAsia="楷体_GB2312"/>
          <w:sz w:val="24"/>
        </w:rPr>
      </w:pPr>
      <w:r>
        <w:rPr>
          <w:rFonts w:eastAsia="楷体_GB2312"/>
          <w:sz w:val="24"/>
        </w:rPr>
        <w:t>“受托人”应于每个“支付日”前向“资金保管机构”发送“划款指令”，指令“资金保管机构”不晚于每个“支付日”前【】个“工作日”【</w:t>
      </w:r>
      <w:r>
        <w:rPr>
          <w:rFonts w:eastAsia="楷体_GB2312"/>
          <w:i/>
          <w:iCs/>
          <w:sz w:val="24"/>
        </w:rPr>
        <w:t>具体时点</w:t>
      </w:r>
      <w:r>
        <w:rPr>
          <w:rFonts w:eastAsia="楷体_GB2312"/>
          <w:sz w:val="24"/>
        </w:rPr>
        <w:t>】前将“信托账户”中与向“支付代理机构”发送的“资产支持证券”付息兑付或收益分配指令所载明的金额相符的资金划转至“支付代理机构”指定的资金账户。</w:t>
      </w:r>
    </w:p>
    <w:p w14:paraId="3A9FB235">
      <w:pPr>
        <w:spacing w:line="380" w:lineRule="atLeast"/>
        <w:rPr>
          <w:rFonts w:eastAsia="楷体_GB2312"/>
          <w:b/>
          <w:sz w:val="24"/>
        </w:rPr>
      </w:pPr>
    </w:p>
    <w:p w14:paraId="1B84819C">
      <w:pPr>
        <w:numPr>
          <w:ilvl w:val="1"/>
          <w:numId w:val="4"/>
        </w:numPr>
        <w:spacing w:line="380" w:lineRule="atLeast"/>
        <w:outlineLvl w:val="1"/>
        <w:rPr>
          <w:rFonts w:eastAsia="楷体_GB2312"/>
          <w:b/>
          <w:sz w:val="24"/>
        </w:rPr>
      </w:pPr>
      <w:bookmarkStart w:id="342" w:name="_Ref169088858"/>
      <w:bookmarkStart w:id="343" w:name="_Hlk55338664"/>
      <w:bookmarkStart w:id="344" w:name="_Ref180850300"/>
      <w:bookmarkStart w:id="345" w:name="_Hlk51967531"/>
      <w:r>
        <w:rPr>
          <w:rFonts w:eastAsia="楷体_GB2312"/>
          <w:b/>
          <w:sz w:val="24"/>
        </w:rPr>
        <w:t>违约事件/信托终止日发生前</w:t>
      </w:r>
      <w:bookmarkStart w:id="346" w:name="_Toc120280687"/>
      <w:bookmarkStart w:id="347" w:name="_Ref112317234"/>
      <w:r>
        <w:rPr>
          <w:rFonts w:eastAsia="楷体_GB2312"/>
          <w:b/>
          <w:sz w:val="24"/>
        </w:rPr>
        <w:t>的</w:t>
      </w:r>
      <w:bookmarkEnd w:id="342"/>
      <w:bookmarkEnd w:id="346"/>
      <w:bookmarkEnd w:id="347"/>
      <w:r>
        <w:rPr>
          <w:rFonts w:eastAsia="楷体_GB2312"/>
          <w:b/>
          <w:sz w:val="24"/>
        </w:rPr>
        <w:t>回收款分</w:t>
      </w:r>
      <w:bookmarkEnd w:id="343"/>
      <w:r>
        <w:rPr>
          <w:rFonts w:eastAsia="楷体_GB2312"/>
          <w:b/>
          <w:sz w:val="24"/>
        </w:rPr>
        <w:t>配</w:t>
      </w:r>
      <w:bookmarkEnd w:id="344"/>
    </w:p>
    <w:p w14:paraId="456CF5CB">
      <w:pPr>
        <w:spacing w:line="360" w:lineRule="auto"/>
        <w:ind w:left="851"/>
        <w:rPr>
          <w:rFonts w:eastAsia="楷体_GB2312"/>
          <w:b/>
          <w:bCs/>
          <w:i/>
          <w:iCs/>
          <w:color w:val="FF0000"/>
          <w:kern w:val="2"/>
          <w:sz w:val="24"/>
          <w:szCs w:val="24"/>
        </w:rPr>
      </w:pPr>
      <w:r>
        <w:rPr>
          <w:rFonts w:eastAsia="楷体_GB2312"/>
          <w:b/>
          <w:bCs/>
          <w:i/>
          <w:iCs/>
          <w:color w:val="FF0000"/>
          <w:kern w:val="2"/>
          <w:sz w:val="24"/>
          <w:szCs w:val="24"/>
        </w:rPr>
        <w:t>【注：具体项目的现金流分配顺序待根据实际情况调整。】</w:t>
      </w:r>
    </w:p>
    <w:p w14:paraId="001E4876">
      <w:pPr>
        <w:spacing w:line="360" w:lineRule="auto"/>
        <w:ind w:left="851"/>
        <w:rPr>
          <w:rFonts w:eastAsia="楷体_GB2312"/>
          <w:b/>
          <w:bCs/>
          <w:i/>
          <w:iCs/>
          <w:color w:val="FF0000"/>
          <w:kern w:val="2"/>
          <w:sz w:val="24"/>
          <w:szCs w:val="24"/>
        </w:rPr>
      </w:pPr>
    </w:p>
    <w:p w14:paraId="24CE96EF">
      <w:pPr>
        <w:numPr>
          <w:ilvl w:val="2"/>
          <w:numId w:val="4"/>
        </w:numPr>
        <w:tabs>
          <w:tab w:val="left" w:pos="900"/>
        </w:tabs>
        <w:spacing w:line="380" w:lineRule="atLeast"/>
        <w:ind w:left="1620" w:hanging="769"/>
        <w:rPr>
          <w:rFonts w:eastAsia="楷体_GB2312"/>
          <w:b/>
          <w:sz w:val="24"/>
        </w:rPr>
      </w:pPr>
      <w:bookmarkStart w:id="348" w:name="_Ref111347209"/>
      <w:bookmarkStart w:id="349" w:name="_Ref59061308"/>
      <w:r>
        <w:rPr>
          <w:rFonts w:eastAsia="楷体_GB2312"/>
          <w:b/>
          <w:sz w:val="24"/>
        </w:rPr>
        <w:t>收益账项下资金的</w:t>
      </w:r>
      <w:bookmarkEnd w:id="348"/>
      <w:r>
        <w:rPr>
          <w:rFonts w:eastAsia="楷体_GB2312"/>
          <w:b/>
          <w:sz w:val="24"/>
        </w:rPr>
        <w:t>分配</w:t>
      </w:r>
      <w:bookmarkEnd w:id="349"/>
    </w:p>
    <w:p w14:paraId="24810DEB">
      <w:pPr>
        <w:spacing w:line="380" w:lineRule="atLeast"/>
        <w:rPr>
          <w:rFonts w:eastAsia="楷体_GB2312"/>
          <w:sz w:val="24"/>
        </w:rPr>
      </w:pPr>
    </w:p>
    <w:p w14:paraId="05FFAFFD">
      <w:pPr>
        <w:spacing w:line="380" w:lineRule="atLeast"/>
        <w:ind w:left="1620"/>
        <w:rPr>
          <w:rFonts w:eastAsia="楷体_GB2312"/>
          <w:sz w:val="24"/>
        </w:rPr>
      </w:pPr>
      <w:r>
        <w:rPr>
          <w:rFonts w:eastAsia="楷体_GB2312"/>
          <w:sz w:val="24"/>
        </w:rPr>
        <w:t>在“违约事件”及“信托终止日”发生前的每个“信托利益核算日”，“受托人”应将“收益账”项下的资金以及于该“信托利益核算日”分别按照本合同第</w:t>
      </w:r>
      <w:r>
        <w:rPr>
          <w:rFonts w:eastAsia="楷体_GB2312"/>
          <w:sz w:val="24"/>
        </w:rPr>
        <w:fldChar w:fldCharType="begin"/>
      </w:r>
      <w:r>
        <w:rPr>
          <w:rFonts w:eastAsia="楷体_GB2312"/>
          <w:sz w:val="24"/>
        </w:rPr>
        <w:instrText xml:space="preserve"> REF _Ref51344664 \r \h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w:t>
      </w:r>
      <w:r>
        <w:rPr>
          <w:rFonts w:hint="eastAsia" w:eastAsia="楷体_GB2312"/>
          <w:sz w:val="24"/>
        </w:rPr>
        <w:t>第(1)项</w:t>
      </w:r>
      <w:r>
        <w:rPr>
          <w:rFonts w:eastAsia="楷体_GB2312"/>
          <w:sz w:val="24"/>
        </w:rPr>
        <w:t>、第</w:t>
      </w:r>
      <w:r>
        <w:rPr>
          <w:rFonts w:eastAsia="楷体_GB2312"/>
        </w:rPr>
        <w:fldChar w:fldCharType="begin"/>
      </w:r>
      <w:r>
        <w:rPr>
          <w:rFonts w:eastAsia="楷体_GB2312"/>
        </w:rPr>
        <w:instrText xml:space="preserve"> REF _Ref180850323 \r \h  \* MERGEFORMAT </w:instrText>
      </w:r>
      <w:r>
        <w:rPr>
          <w:rFonts w:eastAsia="楷体_GB2312"/>
        </w:rPr>
        <w:fldChar w:fldCharType="separate"/>
      </w:r>
      <w:r>
        <w:rPr>
          <w:rFonts w:eastAsia="楷体_GB2312"/>
          <w:sz w:val="24"/>
        </w:rPr>
        <w:t>10.6</w:t>
      </w:r>
      <w:r>
        <w:rPr>
          <w:rFonts w:eastAsia="楷体_GB2312"/>
        </w:rPr>
        <w:fldChar w:fldCharType="end"/>
      </w:r>
      <w:r>
        <w:rPr>
          <w:rFonts w:eastAsia="楷体_GB2312"/>
          <w:sz w:val="24"/>
        </w:rPr>
        <w:t>款、第</w:t>
      </w:r>
      <w:r>
        <w:rPr>
          <w:rFonts w:eastAsia="楷体_GB2312"/>
          <w:sz w:val="24"/>
        </w:rPr>
        <w:fldChar w:fldCharType="begin"/>
      </w:r>
      <w:r>
        <w:rPr>
          <w:rFonts w:eastAsia="楷体_GB2312"/>
          <w:sz w:val="24"/>
        </w:rPr>
        <w:instrText xml:space="preserve"> REF _Ref221699489 \r \h </w:instrText>
      </w:r>
      <w:r>
        <w:rPr>
          <w:rFonts w:eastAsia="楷体_GB2312"/>
          <w:sz w:val="24"/>
        </w:rPr>
        <w:fldChar w:fldCharType="separate"/>
      </w:r>
      <w:r>
        <w:rPr>
          <w:rFonts w:eastAsia="楷体_GB2312"/>
          <w:sz w:val="24"/>
        </w:rPr>
        <w:t>10.7</w:t>
      </w:r>
      <w:r>
        <w:rPr>
          <w:rFonts w:eastAsia="楷体_GB2312"/>
          <w:sz w:val="24"/>
        </w:rPr>
        <w:fldChar w:fldCharType="end"/>
      </w:r>
      <w:r>
        <w:rPr>
          <w:rFonts w:eastAsia="楷体_GB2312"/>
          <w:sz w:val="24"/>
        </w:rPr>
        <w:t>款的约定从相应“信托账”转入“收益账”的资金的总金额按以下顺序进行分配或计提（如同一顺序的多笔款项不足以支付，则按各笔款项应受偿金额的比例支付，且除下述第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第(4)项</w:t>
      </w:r>
      <w:r>
        <w:rPr>
          <w:rFonts w:eastAsia="楷体_GB2312"/>
          <w:sz w:val="24"/>
        </w:rPr>
        <w:t>、第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第(9)项</w:t>
      </w:r>
      <w:r>
        <w:rPr>
          <w:rFonts w:eastAsia="楷体_GB2312"/>
          <w:sz w:val="24"/>
        </w:rPr>
        <w:t>之外，各项所差金额应按以下顺序在下一期支付）：</w:t>
      </w:r>
    </w:p>
    <w:p w14:paraId="3D0F388E">
      <w:pPr>
        <w:spacing w:line="380" w:lineRule="atLeast"/>
        <w:rPr>
          <w:rFonts w:eastAsia="楷体_GB2312"/>
          <w:sz w:val="24"/>
        </w:rPr>
      </w:pPr>
    </w:p>
    <w:p w14:paraId="0BF9698B">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50" w:name="_Ref112316473"/>
      <w:bookmarkStart w:id="351" w:name="_Ref111348174"/>
      <w:r>
        <w:rPr>
          <w:rFonts w:eastAsia="楷体_GB2312"/>
          <w:sz w:val="24"/>
        </w:rPr>
        <w:t>将依据“中国法律”由“受托人”缴纳的与“信托”相关的税收和规费（包括但不限于增值税及附加、所得税、“受托人”因受托“信托”业务而增加的业务规费（如有）等）以及“受托人”估算的其他与税收有关的合理金额（如有）相等数额的资金记入“税收专用账”；</w:t>
      </w:r>
      <w:bookmarkEnd w:id="350"/>
    </w:p>
    <w:p w14:paraId="7A52B7AF">
      <w:pPr>
        <w:spacing w:line="380" w:lineRule="exact"/>
        <w:ind w:left="1984"/>
        <w:rPr>
          <w:rFonts w:eastAsia="楷体_GB2312"/>
          <w:sz w:val="24"/>
        </w:rPr>
      </w:pPr>
    </w:p>
    <w:p w14:paraId="525DABA2">
      <w:pPr>
        <w:pStyle w:val="78"/>
        <w:numPr>
          <w:ilvl w:val="0"/>
          <w:numId w:val="17"/>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同顺序支付各项“发行费用”（包括“受托机构”垫付的该等费用（如有））</w:t>
      </w:r>
      <w:bookmarkStart w:id="352" w:name="_Ref112313513"/>
      <w:r>
        <w:rPr>
          <w:rFonts w:eastAsia="楷体_GB2312"/>
          <w:sz w:val="24"/>
        </w:rPr>
        <w:t>；</w:t>
      </w:r>
      <w:bookmarkEnd w:id="352"/>
    </w:p>
    <w:p w14:paraId="6E8E57D1">
      <w:pPr>
        <w:spacing w:line="380" w:lineRule="atLeast"/>
        <w:ind w:left="1276"/>
        <w:rPr>
          <w:rFonts w:eastAsia="楷体_GB2312"/>
          <w:sz w:val="24"/>
        </w:rPr>
      </w:pPr>
    </w:p>
    <w:p w14:paraId="65CBD154">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53" w:name="_Ref150547909"/>
      <w:r>
        <w:rPr>
          <w:rFonts w:eastAsia="楷体_GB2312"/>
          <w:sz w:val="24"/>
        </w:rPr>
        <w:t>同顺序支付：</w:t>
      </w:r>
      <w:r>
        <w:rPr>
          <w:rFonts w:eastAsia="楷体_GB2312"/>
          <w:color w:val="000000"/>
          <w:sz w:val="24"/>
        </w:rPr>
        <w:t>(</w:t>
      </w:r>
      <w:r>
        <w:rPr>
          <w:rFonts w:hint="eastAsia" w:eastAsia="楷体_GB2312"/>
          <w:color w:val="000000"/>
          <w:sz w:val="24"/>
        </w:rPr>
        <w:t>a</w:t>
      </w:r>
      <w:r>
        <w:rPr>
          <w:rFonts w:eastAsia="楷体_GB2312"/>
          <w:color w:val="000000"/>
          <w:sz w:val="24"/>
        </w:rPr>
        <w:t>)“支付代理机构”的报酬、(</w:t>
      </w:r>
      <w:r>
        <w:rPr>
          <w:rFonts w:hint="eastAsia" w:eastAsia="楷体_GB2312"/>
          <w:color w:val="000000"/>
          <w:sz w:val="24"/>
        </w:rPr>
        <w:t>b</w:t>
      </w:r>
      <w:r>
        <w:rPr>
          <w:rFonts w:eastAsia="楷体_GB2312"/>
          <w:color w:val="000000"/>
          <w:sz w:val="24"/>
        </w:rPr>
        <w:t>)“受托人”的报酬、(</w:t>
      </w:r>
      <w:r>
        <w:rPr>
          <w:rFonts w:hint="eastAsia" w:eastAsia="楷体_GB2312"/>
          <w:color w:val="000000"/>
          <w:sz w:val="24"/>
        </w:rPr>
        <w:t>c</w:t>
      </w:r>
      <w:r>
        <w:rPr>
          <w:rFonts w:eastAsia="楷体_GB2312"/>
          <w:color w:val="000000"/>
          <w:sz w:val="24"/>
        </w:rPr>
        <w:t>)</w:t>
      </w:r>
      <w:r>
        <w:rPr>
          <w:rFonts w:eastAsia="楷体_GB2312"/>
          <w:sz w:val="24"/>
        </w:rPr>
        <w:t>“资金保管机构”</w:t>
      </w:r>
      <w:r>
        <w:rPr>
          <w:rFonts w:eastAsia="楷体_GB2312"/>
          <w:color w:val="000000"/>
          <w:sz w:val="24"/>
        </w:rPr>
        <w:t>的报酬、(</w:t>
      </w:r>
      <w:r>
        <w:rPr>
          <w:rFonts w:hint="eastAsia" w:eastAsia="楷体_GB2312"/>
          <w:color w:val="000000"/>
          <w:sz w:val="24"/>
        </w:rPr>
        <w:t>d</w:t>
      </w:r>
      <w:r>
        <w:rPr>
          <w:rFonts w:eastAsia="楷体_GB2312"/>
          <w:color w:val="000000"/>
          <w:sz w:val="24"/>
        </w:rPr>
        <w:t>)“评级机构”提供跟踪评级服务的报酬、(</w:t>
      </w:r>
      <w:r>
        <w:rPr>
          <w:rFonts w:hint="eastAsia" w:eastAsia="楷体_GB2312"/>
          <w:color w:val="000000"/>
          <w:sz w:val="24"/>
        </w:rPr>
        <w:t>e</w:t>
      </w:r>
      <w:r>
        <w:rPr>
          <w:rFonts w:eastAsia="楷体_GB2312"/>
          <w:color w:val="000000"/>
          <w:sz w:val="24"/>
        </w:rPr>
        <w:t>)“审计师”的报酬、(</w:t>
      </w:r>
      <w:r>
        <w:rPr>
          <w:rFonts w:hint="eastAsia" w:eastAsia="楷体_GB2312"/>
          <w:color w:val="000000"/>
          <w:sz w:val="24"/>
        </w:rPr>
        <w:t>f</w:t>
      </w:r>
      <w:r>
        <w:rPr>
          <w:rFonts w:eastAsia="楷体_GB2312"/>
          <w:color w:val="000000"/>
          <w:sz w:val="24"/>
        </w:rPr>
        <w:t>)“后备贷款服务机构”（如有）的报酬、(</w:t>
      </w:r>
      <w:r>
        <w:rPr>
          <w:rFonts w:hint="eastAsia" w:eastAsia="楷体_GB2312"/>
          <w:color w:val="000000"/>
          <w:sz w:val="24"/>
        </w:rPr>
        <w:t>g</w:t>
      </w:r>
      <w:r>
        <w:rPr>
          <w:rFonts w:eastAsia="楷体_GB2312"/>
          <w:color w:val="000000"/>
          <w:sz w:val="24"/>
        </w:rPr>
        <w:t>)“受托人”因“清仓回购”而聘请第三方专业机构</w:t>
      </w:r>
      <w:r>
        <w:rPr>
          <w:rFonts w:hint="eastAsia" w:eastAsia="楷体_GB2312"/>
          <w:color w:val="000000"/>
          <w:sz w:val="24"/>
        </w:rPr>
        <w:t>对</w:t>
      </w:r>
      <w:r>
        <w:rPr>
          <w:rFonts w:eastAsia="楷体_GB2312"/>
          <w:color w:val="000000"/>
          <w:sz w:val="24"/>
        </w:rPr>
        <w:t>剩余“资产池”进行评估所发生的费用</w:t>
      </w:r>
      <w:r>
        <w:rPr>
          <w:rFonts w:hint="eastAsia" w:eastAsia="楷体_GB2312"/>
          <w:color w:val="000000"/>
          <w:sz w:val="24"/>
        </w:rPr>
        <w:t>、</w:t>
      </w:r>
      <w:r>
        <w:rPr>
          <w:rFonts w:eastAsia="楷体_GB2312"/>
          <w:color w:val="000000"/>
          <w:sz w:val="24"/>
        </w:rPr>
        <w:t>(</w:t>
      </w:r>
      <w:r>
        <w:rPr>
          <w:rFonts w:hint="eastAsia" w:eastAsia="楷体_GB2312"/>
          <w:color w:val="000000"/>
          <w:sz w:val="24"/>
        </w:rPr>
        <w:t>h</w:t>
      </w:r>
      <w:r>
        <w:rPr>
          <w:rFonts w:eastAsia="楷体_GB2312"/>
          <w:color w:val="000000"/>
          <w:sz w:val="24"/>
        </w:rPr>
        <w:t>)</w:t>
      </w:r>
      <w:r>
        <w:rPr>
          <w:rFonts w:eastAsia="楷体_GB2312"/>
          <w:sz w:val="24"/>
        </w:rPr>
        <w:t>上述</w:t>
      </w:r>
      <w:r>
        <w:rPr>
          <w:rFonts w:eastAsia="楷体_GB2312"/>
          <w:color w:val="000000"/>
          <w:sz w:val="24"/>
        </w:rPr>
        <w:t>相关主体和“贷款服务机构”各自可报销的不超过</w:t>
      </w:r>
      <w:bookmarkStart w:id="354" w:name="_Hlk59112288"/>
      <w:r>
        <w:rPr>
          <w:rFonts w:eastAsia="楷体_GB2312"/>
          <w:color w:val="000000"/>
          <w:sz w:val="24"/>
        </w:rPr>
        <w:t>“优先支出上限”的“费用支出”</w:t>
      </w:r>
      <w:bookmarkEnd w:id="354"/>
      <w:r>
        <w:rPr>
          <w:rFonts w:eastAsia="楷体_GB2312"/>
          <w:color w:val="000000"/>
          <w:sz w:val="24"/>
        </w:rPr>
        <w:t>、(</w:t>
      </w:r>
      <w:r>
        <w:rPr>
          <w:rFonts w:hint="eastAsia" w:eastAsia="楷体_GB2312"/>
          <w:color w:val="000000"/>
          <w:sz w:val="24"/>
        </w:rPr>
        <w:t>i</w:t>
      </w:r>
      <w:r>
        <w:rPr>
          <w:rFonts w:eastAsia="楷体_GB2312"/>
          <w:color w:val="000000"/>
          <w:sz w:val="24"/>
        </w:rPr>
        <w:t>)“受托人”按照本合同的约定以固有财产垫付的代为发送“权利完善通知”所发生的费用（如有）</w:t>
      </w:r>
      <w:r>
        <w:rPr>
          <w:rFonts w:eastAsia="楷体_GB2312"/>
          <w:sz w:val="24"/>
        </w:rPr>
        <w:t>；</w:t>
      </w:r>
      <w:bookmarkEnd w:id="353"/>
    </w:p>
    <w:p w14:paraId="572A6CA4">
      <w:pPr>
        <w:tabs>
          <w:tab w:val="left" w:pos="425"/>
          <w:tab w:val="left" w:pos="1985"/>
          <w:tab w:val="left" w:pos="2073"/>
        </w:tabs>
        <w:spacing w:line="380" w:lineRule="exact"/>
        <w:ind w:left="1701"/>
        <w:rPr>
          <w:rFonts w:eastAsia="楷体_GB2312"/>
          <w:b/>
          <w:bCs/>
          <w:i/>
          <w:iCs/>
          <w:color w:val="FF0000"/>
          <w:sz w:val="24"/>
        </w:rPr>
      </w:pPr>
      <w:r>
        <w:rPr>
          <w:rFonts w:eastAsia="楷体_GB2312"/>
          <w:b/>
          <w:bCs/>
          <w:i/>
          <w:iCs/>
          <w:color w:val="FF0000"/>
          <w:sz w:val="24"/>
        </w:rPr>
        <w:t>【注：由信托财产承担的费用，可根据项目实际情况进行调整。】</w:t>
      </w:r>
    </w:p>
    <w:p w14:paraId="1196A35A">
      <w:pPr>
        <w:spacing w:line="380" w:lineRule="atLeast"/>
        <w:ind w:left="1984"/>
        <w:rPr>
          <w:rFonts w:eastAsia="楷体_GB2312"/>
          <w:sz w:val="24"/>
        </w:rPr>
      </w:pPr>
    </w:p>
    <w:p w14:paraId="5B056A04">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55" w:name="_Ref59060358"/>
      <w:bookmarkStart w:id="356" w:name="_Ref150892631"/>
      <w:r>
        <w:rPr>
          <w:rFonts w:eastAsia="楷体_GB2312"/>
          <w:sz w:val="24"/>
        </w:rPr>
        <w:t>如果“优先级资产支持证券”尚未清偿完毕，转入“储备金账”相应资金，直至“储备金账”内的资金等于本期“流动性储备金限额”，如本期“收益账”内的资金不足以使“储备金账”内资金达到“流动性储备金限额”，所差金额无需在下一期另行转入；</w:t>
      </w:r>
      <w:bookmarkEnd w:id="355"/>
    </w:p>
    <w:p w14:paraId="79C10FBD">
      <w:pPr>
        <w:tabs>
          <w:tab w:val="left" w:pos="425"/>
          <w:tab w:val="left" w:pos="1985"/>
          <w:tab w:val="left" w:pos="2073"/>
        </w:tabs>
        <w:spacing w:line="380" w:lineRule="exact"/>
        <w:ind w:left="1701"/>
        <w:rPr>
          <w:rFonts w:eastAsia="楷体_GB2312"/>
          <w:b/>
          <w:bCs/>
          <w:color w:val="FF0000"/>
          <w:sz w:val="24"/>
        </w:rPr>
      </w:pPr>
      <w:r>
        <w:rPr>
          <w:rFonts w:eastAsia="楷体_GB2312"/>
          <w:b/>
          <w:bCs/>
          <w:i/>
          <w:iCs/>
          <w:color w:val="FF0000"/>
          <w:sz w:val="24"/>
        </w:rPr>
        <w:t>【注：是否设置储备金账、储备金账的分配顺序可根据项目的具体安排调整；如无，则删除本款。】</w:t>
      </w:r>
    </w:p>
    <w:p w14:paraId="7E85C243">
      <w:pPr>
        <w:pStyle w:val="78"/>
        <w:ind w:firstLine="480"/>
        <w:rPr>
          <w:rFonts w:eastAsia="楷体_GB2312"/>
          <w:sz w:val="24"/>
        </w:rPr>
      </w:pPr>
    </w:p>
    <w:p w14:paraId="6C7A873D">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57" w:name="_Ref59061395"/>
      <w:r>
        <w:rPr>
          <w:rFonts w:eastAsia="楷体_GB2312"/>
          <w:sz w:val="24"/>
        </w:rPr>
        <w:t>支付下一个“支付日”应支付的“优先A档资产支持证券”的利息，【如本期“收益账”内剩余的资金不足以支付“优先A档资产支持证券”的利息（包括累计未付利息），首先根据本合同第</w:t>
      </w:r>
      <w:r>
        <w:rPr>
          <w:rFonts w:eastAsia="楷体_GB2312"/>
          <w:sz w:val="24"/>
        </w:rPr>
        <w:fldChar w:fldCharType="begin"/>
      </w:r>
      <w:r>
        <w:rPr>
          <w:rFonts w:eastAsia="楷体_GB2312"/>
          <w:sz w:val="24"/>
        </w:rPr>
        <w:instrText xml:space="preserve"> REF _Ref51344664 \r \h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w:t>
      </w:r>
      <w:r>
        <w:rPr>
          <w:rFonts w:hint="eastAsia" w:eastAsia="楷体_GB2312"/>
          <w:sz w:val="24"/>
        </w:rPr>
        <w:t>第(1)项</w:t>
      </w:r>
      <w:r>
        <w:rPr>
          <w:rFonts w:eastAsia="楷体_GB2312"/>
          <w:sz w:val="24"/>
        </w:rPr>
        <w:t>从“本金账”中转出相应金额，直至足以支付下一个“支付日”应支付的“优先A档资产支持证券”的利息（包括累计未付利息），如尚不足以支付的，从“储备金账”中转出相应金额，直至足以支付下一个“支付日”应支付的“优先A档资产支持证券”的利息（包括累计未付利息）】；</w:t>
      </w:r>
      <w:bookmarkEnd w:id="356"/>
      <w:bookmarkEnd w:id="357"/>
    </w:p>
    <w:p w14:paraId="33A31597">
      <w:pPr>
        <w:tabs>
          <w:tab w:val="left" w:pos="425"/>
          <w:tab w:val="left" w:pos="1985"/>
          <w:tab w:val="left" w:pos="2073"/>
        </w:tabs>
        <w:spacing w:line="380" w:lineRule="exact"/>
        <w:ind w:left="1701"/>
        <w:rPr>
          <w:rFonts w:eastAsia="楷体_GB2312"/>
          <w:b/>
          <w:bCs/>
          <w:color w:val="FF0000"/>
          <w:sz w:val="24"/>
        </w:rPr>
      </w:pPr>
      <w:r>
        <w:rPr>
          <w:rFonts w:eastAsia="楷体_GB2312"/>
          <w:b/>
          <w:bCs/>
          <w:color w:val="FF0000"/>
          <w:sz w:val="24"/>
        </w:rPr>
        <w:t>【注：</w:t>
      </w:r>
      <w:r>
        <w:rPr>
          <w:rFonts w:eastAsia="楷体_GB2312"/>
          <w:b/>
          <w:bCs/>
          <w:i/>
          <w:iCs/>
          <w:color w:val="FF0000"/>
          <w:sz w:val="24"/>
        </w:rPr>
        <w:t>如不设置储备金账，则删除本款中流动性储备金的相关安排。】</w:t>
      </w:r>
    </w:p>
    <w:p w14:paraId="12800106">
      <w:pPr>
        <w:spacing w:line="380" w:lineRule="atLeast"/>
        <w:rPr>
          <w:rFonts w:eastAsia="楷体_GB2312"/>
          <w:sz w:val="24"/>
        </w:rPr>
      </w:pPr>
    </w:p>
    <w:p w14:paraId="53B3FB60">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58" w:name="_Ref150543111"/>
      <w:r>
        <w:rPr>
          <w:rFonts w:eastAsia="楷体_GB2312"/>
          <w:sz w:val="24"/>
        </w:rPr>
        <w:t>支付下一个“支付日”应支付的“优先B档资产支持证券”利息，【如本期“收益账”内剩余的资金不足以支付“优先B档资产支持证券”的利息（包括累计未付利息），首先根据本合同第</w:t>
      </w:r>
      <w:r>
        <w:rPr>
          <w:rFonts w:eastAsia="楷体_GB2312"/>
          <w:sz w:val="24"/>
        </w:rPr>
        <w:fldChar w:fldCharType="begin"/>
      </w:r>
      <w:r>
        <w:rPr>
          <w:rFonts w:eastAsia="楷体_GB2312"/>
          <w:sz w:val="24"/>
        </w:rPr>
        <w:instrText xml:space="preserve"> REF _Ref51344664 \r \h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w:t>
      </w:r>
      <w:r>
        <w:rPr>
          <w:rFonts w:hint="eastAsia" w:eastAsia="楷体_GB2312"/>
          <w:sz w:val="24"/>
        </w:rPr>
        <w:t>第(1)项</w:t>
      </w:r>
      <w:r>
        <w:rPr>
          <w:rFonts w:eastAsia="楷体_GB2312"/>
          <w:sz w:val="24"/>
        </w:rPr>
        <w:t>从“本金账”中转出相应金额，直至足以支付下一个“支付日”应支付的“优先B档资产支持证券”的利息（包括累计未付利息），如尚不足以支付的，从“储备金账”中转出相应金额，直至足以支付下一个“支付日”应支付的“优先B档资产支持证券”的利息（包括累计未付利息）】；</w:t>
      </w:r>
      <w:bookmarkEnd w:id="358"/>
    </w:p>
    <w:p w14:paraId="3ABF748E">
      <w:pPr>
        <w:tabs>
          <w:tab w:val="left" w:pos="425"/>
          <w:tab w:val="left" w:pos="1985"/>
          <w:tab w:val="left" w:pos="2073"/>
        </w:tabs>
        <w:spacing w:line="380" w:lineRule="exact"/>
        <w:ind w:left="1701"/>
        <w:rPr>
          <w:rFonts w:eastAsia="楷体_GB2312"/>
          <w:b/>
          <w:bCs/>
          <w:i/>
          <w:iCs/>
          <w:color w:val="FF0000"/>
          <w:sz w:val="24"/>
        </w:rPr>
      </w:pPr>
      <w:r>
        <w:rPr>
          <w:rFonts w:eastAsia="楷体_GB2312"/>
          <w:b/>
          <w:bCs/>
          <w:i/>
          <w:iCs/>
          <w:color w:val="FF0000"/>
          <w:sz w:val="24"/>
        </w:rPr>
        <w:t>【注：如不设置储备金账，则删除本款中流动性储备金的相关安排。】</w:t>
      </w:r>
    </w:p>
    <w:p w14:paraId="5DE74DE4">
      <w:pPr>
        <w:tabs>
          <w:tab w:val="left" w:pos="425"/>
          <w:tab w:val="left" w:pos="1985"/>
          <w:tab w:val="left" w:pos="2073"/>
        </w:tabs>
        <w:spacing w:line="380" w:lineRule="exact"/>
        <w:ind w:left="1701"/>
        <w:rPr>
          <w:rFonts w:eastAsia="楷体_GB2312"/>
          <w:i/>
          <w:iCs/>
          <w:sz w:val="24"/>
        </w:rPr>
      </w:pPr>
    </w:p>
    <w:p w14:paraId="0DA409A9">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59" w:name="_Ref150543248"/>
      <w:bookmarkStart w:id="360" w:name="_Ref123035352"/>
      <w:r>
        <w:rPr>
          <w:rFonts w:eastAsia="楷体_GB2312"/>
          <w:sz w:val="24"/>
        </w:rPr>
        <w:t>计提当期根据“《贷款服务机构收费函》”应收取的“贷款服务机构”“资产服务费”；</w:t>
      </w:r>
      <w:bookmarkEnd w:id="359"/>
      <w:bookmarkEnd w:id="360"/>
    </w:p>
    <w:p w14:paraId="69134619">
      <w:pPr>
        <w:spacing w:line="380" w:lineRule="atLeast"/>
        <w:ind w:left="1276"/>
        <w:rPr>
          <w:rFonts w:eastAsia="楷体_GB2312"/>
          <w:sz w:val="24"/>
        </w:rPr>
      </w:pPr>
    </w:p>
    <w:p w14:paraId="237525A5">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61" w:name="_Ref169087790"/>
      <w:r>
        <w:rPr>
          <w:rFonts w:eastAsia="楷体_GB2312"/>
          <w:sz w:val="24"/>
        </w:rPr>
        <w:t>如果发生“加速清偿事件”，将全部余额记入“本金账”；</w:t>
      </w:r>
      <w:bookmarkEnd w:id="361"/>
      <w:bookmarkStart w:id="362" w:name="_Ref150892643"/>
    </w:p>
    <w:bookmarkEnd w:id="362"/>
    <w:p w14:paraId="6031E862">
      <w:pPr>
        <w:spacing w:line="380" w:lineRule="atLeast"/>
        <w:ind w:left="1276"/>
        <w:rPr>
          <w:rFonts w:eastAsia="楷体_GB2312"/>
          <w:sz w:val="24"/>
        </w:rPr>
      </w:pPr>
    </w:p>
    <w:p w14:paraId="75ACCF57">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63" w:name="_Ref51239251"/>
      <w:bookmarkStart w:id="364" w:name="_Ref51257652"/>
      <w:bookmarkStart w:id="365" w:name="_Ref156556896"/>
      <w:r>
        <w:rPr>
          <w:rFonts w:eastAsia="楷体_GB2312"/>
          <w:sz w:val="24"/>
        </w:rPr>
        <w:t>如果“优先B档资产支持证券”的本金尚未清偿完毕，按不超过【】</w:t>
      </w:r>
      <w:r>
        <w:rPr>
          <w:rFonts w:eastAsia="楷体_GB2312"/>
          <w:bCs/>
          <w:sz w:val="24"/>
        </w:rPr>
        <w:t>%</w:t>
      </w:r>
      <w:r>
        <w:rPr>
          <w:rFonts w:eastAsia="楷体_GB2312"/>
          <w:sz w:val="24"/>
        </w:rPr>
        <w:t>/年的收益率支付下一个“支付日”应支付的“次级资产支持证券”的“次级期间收益”；</w:t>
      </w:r>
      <w:bookmarkEnd w:id="363"/>
      <w:bookmarkEnd w:id="364"/>
    </w:p>
    <w:p w14:paraId="019B3159">
      <w:pPr>
        <w:tabs>
          <w:tab w:val="left" w:pos="1985"/>
        </w:tabs>
        <w:spacing w:line="380" w:lineRule="exact"/>
        <w:ind w:left="1701"/>
        <w:rPr>
          <w:rFonts w:eastAsia="楷体_GB2312"/>
          <w:b/>
          <w:i/>
          <w:iCs/>
          <w:color w:val="FF0000"/>
          <w:sz w:val="24"/>
        </w:rPr>
      </w:pPr>
      <w:r>
        <w:rPr>
          <w:rFonts w:eastAsia="楷体_GB2312"/>
          <w:b/>
          <w:i/>
          <w:iCs/>
          <w:color w:val="FF0000"/>
          <w:sz w:val="24"/>
        </w:rPr>
        <w:t>【注：如不设置次级期间收益，则删除本款或填写为0。】</w:t>
      </w:r>
    </w:p>
    <w:p w14:paraId="39C0D6CF">
      <w:pPr>
        <w:pStyle w:val="78"/>
        <w:ind w:firstLine="480"/>
        <w:rPr>
          <w:rFonts w:eastAsia="楷体_GB2312"/>
          <w:sz w:val="24"/>
        </w:rPr>
      </w:pPr>
    </w:p>
    <w:p w14:paraId="35FD94E0">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66" w:name="_Ref51249399"/>
      <w:r>
        <w:rPr>
          <w:rFonts w:eastAsia="楷体_GB2312"/>
          <w:sz w:val="24"/>
        </w:rPr>
        <w:t>转入“本金账”如下金额，相当于以下a+b+c-d：</w:t>
      </w:r>
      <w:r>
        <w:rPr>
          <w:rFonts w:eastAsia="楷体_GB2312"/>
          <w:bCs/>
          <w:sz w:val="24"/>
        </w:rPr>
        <w:t>(</w:t>
      </w:r>
      <w:r>
        <w:rPr>
          <w:rFonts w:eastAsia="楷体_GB2312"/>
          <w:sz w:val="24"/>
        </w:rPr>
        <w:t>a)在前一个“收款期间”内成为“违约贷款”的“信贷资产”在成为“违约贷款”时的“未偿本金余额”，</w:t>
      </w:r>
      <w:r>
        <w:rPr>
          <w:rFonts w:eastAsia="楷体_GB2312"/>
          <w:bCs/>
          <w:sz w:val="24"/>
        </w:rPr>
        <w:t>(</w:t>
      </w:r>
      <w:r>
        <w:rPr>
          <w:rFonts w:eastAsia="楷体_GB2312"/>
          <w:sz w:val="24"/>
        </w:rPr>
        <w:t>b)在以往“收款期间”内成为“违约贷款”的“信贷资产”在成为“违约贷款”时的“未偿本金余额”，</w:t>
      </w:r>
      <w:r>
        <w:rPr>
          <w:rFonts w:eastAsia="楷体_GB2312"/>
          <w:bCs/>
          <w:sz w:val="24"/>
        </w:rPr>
        <w:t>(</w:t>
      </w:r>
      <w:r>
        <w:rPr>
          <w:rFonts w:eastAsia="楷体_GB2312"/>
          <w:sz w:val="24"/>
        </w:rPr>
        <w:t>c)在以往的全部“信托利益核算日”按照本合同第</w:t>
      </w:r>
      <w:r>
        <w:rPr>
          <w:rFonts w:eastAsia="楷体_GB2312"/>
          <w:sz w:val="24"/>
        </w:rPr>
        <w:fldChar w:fldCharType="begin"/>
      </w:r>
      <w:r>
        <w:rPr>
          <w:rFonts w:eastAsia="楷体_GB2312"/>
          <w:sz w:val="24"/>
        </w:rPr>
        <w:instrText xml:space="preserve"> REF _Ref51344664 \r \h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rPr>
        <w:fldChar w:fldCharType="begin"/>
      </w:r>
      <w:r>
        <w:rPr>
          <w:rFonts w:eastAsia="楷体_GB2312"/>
        </w:rPr>
        <w:instrText xml:space="preserve"> REF _Ref156558991 \r \h  \* MERGEFORMAT </w:instrText>
      </w:r>
      <w:r>
        <w:rPr>
          <w:rFonts w:eastAsia="楷体_GB2312"/>
        </w:rPr>
        <w:fldChar w:fldCharType="separate"/>
      </w:r>
      <w:r>
        <w:rPr>
          <w:rFonts w:eastAsia="楷体_GB2312"/>
        </w:rPr>
        <w:fldChar w:fldCharType="end"/>
      </w:r>
      <w:r>
        <w:rPr>
          <w:rFonts w:eastAsia="楷体_GB2312"/>
          <w:sz w:val="24"/>
        </w:rPr>
        <w:t>款</w:t>
      </w:r>
      <w:r>
        <w:rPr>
          <w:rFonts w:hint="eastAsia" w:eastAsia="楷体_GB2312"/>
          <w:sz w:val="24"/>
        </w:rPr>
        <w:t>第(1)项</w:t>
      </w:r>
      <w:r>
        <w:rPr>
          <w:rFonts w:eastAsia="楷体_GB2312"/>
          <w:sz w:val="24"/>
        </w:rPr>
        <w:t>已从“本金账”转至“收益账”的金额，</w:t>
      </w:r>
      <w:r>
        <w:rPr>
          <w:rFonts w:eastAsia="楷体_GB2312"/>
          <w:bCs/>
          <w:sz w:val="24"/>
        </w:rPr>
        <w:t>(</w:t>
      </w:r>
      <w:r>
        <w:rPr>
          <w:rFonts w:eastAsia="楷体_GB2312"/>
          <w:sz w:val="24"/>
        </w:rPr>
        <w:t>d)在以往的全部“信托利益核算日”按本合同第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第(10)项</w:t>
      </w:r>
      <w:r>
        <w:rPr>
          <w:rFonts w:eastAsia="楷体_GB2312"/>
          <w:sz w:val="24"/>
        </w:rPr>
        <w:t>由“收益账”转入“本金账”的金额；</w:t>
      </w:r>
      <w:bookmarkEnd w:id="365"/>
      <w:bookmarkEnd w:id="366"/>
    </w:p>
    <w:p w14:paraId="5C4513DD">
      <w:pPr>
        <w:pStyle w:val="78"/>
        <w:ind w:firstLine="480"/>
        <w:rPr>
          <w:rFonts w:eastAsia="楷体_GB2312"/>
          <w:sz w:val="24"/>
        </w:rPr>
      </w:pPr>
      <w:bookmarkStart w:id="367" w:name="_Ref150542528"/>
    </w:p>
    <w:p w14:paraId="6117F1DB">
      <w:pPr>
        <w:pStyle w:val="78"/>
        <w:numPr>
          <w:ilvl w:val="0"/>
          <w:numId w:val="17"/>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同顺序支付</w:t>
      </w:r>
      <w:r>
        <w:rPr>
          <w:rFonts w:eastAsia="楷体_GB2312"/>
          <w:color w:val="000000"/>
          <w:sz w:val="24"/>
        </w:rPr>
        <w:t>“受托人”、“贷款服务机构”、“资金保管机构”、“评级机构”（如有）、“审计师”（如有）以及“后备贷款服务机构”（如有）的超过</w:t>
      </w:r>
      <w:r>
        <w:rPr>
          <w:rFonts w:eastAsia="楷体_GB2312"/>
          <w:sz w:val="24"/>
        </w:rPr>
        <w:t>“优先支出上限”</w:t>
      </w:r>
      <w:r>
        <w:rPr>
          <w:rFonts w:eastAsia="楷体_GB2312"/>
          <w:color w:val="000000"/>
          <w:sz w:val="24"/>
        </w:rPr>
        <w:t>的各自可报销的实际“费用支出”</w:t>
      </w:r>
      <w:r>
        <w:rPr>
          <w:rFonts w:eastAsia="楷体_GB2312"/>
          <w:sz w:val="24"/>
        </w:rPr>
        <w:t>；</w:t>
      </w:r>
      <w:bookmarkEnd w:id="367"/>
    </w:p>
    <w:p w14:paraId="6EA63FF6">
      <w:pPr>
        <w:tabs>
          <w:tab w:val="left" w:pos="425"/>
          <w:tab w:val="left" w:pos="1985"/>
          <w:tab w:val="left" w:pos="2073"/>
        </w:tabs>
        <w:spacing w:line="380" w:lineRule="exact"/>
        <w:rPr>
          <w:rFonts w:eastAsia="楷体_GB2312"/>
          <w:sz w:val="24"/>
        </w:rPr>
      </w:pPr>
    </w:p>
    <w:p w14:paraId="7AF0C5A9">
      <w:pPr>
        <w:pStyle w:val="78"/>
        <w:numPr>
          <w:ilvl w:val="0"/>
          <w:numId w:val="17"/>
        </w:numPr>
        <w:tabs>
          <w:tab w:val="left" w:pos="425"/>
          <w:tab w:val="left" w:pos="900"/>
          <w:tab w:val="left" w:pos="1571"/>
        </w:tabs>
        <w:spacing w:line="380" w:lineRule="atLeast"/>
        <w:ind w:left="2127" w:hanging="426" w:firstLineChars="0"/>
        <w:rPr>
          <w:rFonts w:eastAsia="楷体_GB2312"/>
          <w:sz w:val="24"/>
        </w:rPr>
      </w:pPr>
      <w:bookmarkStart w:id="368" w:name="_Ref150544060"/>
      <w:r>
        <w:rPr>
          <w:rFonts w:eastAsia="楷体_GB2312"/>
          <w:sz w:val="24"/>
        </w:rPr>
        <w:t>“收益账”项下剩余资金记入“本金账”。</w:t>
      </w:r>
      <w:bookmarkEnd w:id="368"/>
    </w:p>
    <w:bookmarkEnd w:id="351"/>
    <w:p w14:paraId="01DBE9FF">
      <w:pPr>
        <w:tabs>
          <w:tab w:val="left" w:pos="2356"/>
        </w:tabs>
        <w:spacing w:line="380" w:lineRule="atLeast"/>
        <w:ind w:left="2340" w:hanging="1064"/>
        <w:rPr>
          <w:rFonts w:eastAsia="楷体_GB2312"/>
          <w:b/>
          <w:sz w:val="24"/>
        </w:rPr>
      </w:pPr>
    </w:p>
    <w:p w14:paraId="6CAC8A04">
      <w:pPr>
        <w:numPr>
          <w:ilvl w:val="2"/>
          <w:numId w:val="4"/>
        </w:numPr>
        <w:spacing w:line="380" w:lineRule="atLeast"/>
        <w:rPr>
          <w:rFonts w:eastAsia="楷体_GB2312"/>
          <w:b/>
          <w:sz w:val="24"/>
        </w:rPr>
      </w:pPr>
      <w:bookmarkStart w:id="369" w:name="_Ref111346654"/>
      <w:bookmarkStart w:id="370" w:name="_Ref51344664"/>
      <w:r>
        <w:rPr>
          <w:rFonts w:eastAsia="楷体_GB2312"/>
          <w:b/>
          <w:sz w:val="24"/>
        </w:rPr>
        <w:t>本金账项下资金的</w:t>
      </w:r>
      <w:bookmarkEnd w:id="369"/>
      <w:r>
        <w:rPr>
          <w:rFonts w:eastAsia="楷体_GB2312"/>
          <w:b/>
          <w:sz w:val="24"/>
        </w:rPr>
        <w:t>分配</w:t>
      </w:r>
      <w:bookmarkEnd w:id="370"/>
    </w:p>
    <w:p w14:paraId="3237A601">
      <w:pPr>
        <w:spacing w:line="380" w:lineRule="atLeast"/>
        <w:rPr>
          <w:rFonts w:eastAsia="楷体_GB2312"/>
          <w:sz w:val="24"/>
        </w:rPr>
      </w:pPr>
    </w:p>
    <w:p w14:paraId="1BE84A29">
      <w:pPr>
        <w:spacing w:line="380" w:lineRule="atLeast"/>
        <w:ind w:left="1620"/>
        <w:rPr>
          <w:rFonts w:eastAsia="楷体_GB2312"/>
          <w:sz w:val="24"/>
        </w:rPr>
      </w:pPr>
      <w:r>
        <w:rPr>
          <w:rFonts w:eastAsia="楷体_GB2312"/>
          <w:sz w:val="24"/>
        </w:rPr>
        <w:t>在“违约事件”及“信托终止日”发生前的每个“信托利益核算日”，“受托人”应将“本金账”项下全部资金以及于该“信托利益核算日”分别按照本合同第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第(8)项</w:t>
      </w:r>
      <w:r>
        <w:rPr>
          <w:rFonts w:eastAsia="楷体_GB2312"/>
          <w:sz w:val="24"/>
        </w:rPr>
        <w:t>、第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第(10)项</w:t>
      </w:r>
      <w:r>
        <w:rPr>
          <w:rFonts w:eastAsia="楷体_GB2312"/>
          <w:sz w:val="24"/>
        </w:rPr>
        <w:t>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第(12)项</w:t>
      </w:r>
      <w:r>
        <w:rPr>
          <w:rFonts w:eastAsia="楷体_GB2312"/>
          <w:sz w:val="24"/>
        </w:rPr>
        <w:t>由“收益账”转入的资金的总金额按以下顺序进行核算（如同一顺序的多笔款项不足以支付，则按各笔款项应受偿金额的比例支付，各项所差金额应按以下顺序在下一期支付）：</w:t>
      </w:r>
    </w:p>
    <w:p w14:paraId="3971B98C">
      <w:pPr>
        <w:spacing w:line="380" w:lineRule="atLeast"/>
        <w:rPr>
          <w:rFonts w:eastAsia="楷体_GB2312"/>
          <w:sz w:val="24"/>
        </w:rPr>
      </w:pPr>
    </w:p>
    <w:p w14:paraId="5AE8019B">
      <w:pPr>
        <w:pStyle w:val="78"/>
        <w:numPr>
          <w:ilvl w:val="0"/>
          <w:numId w:val="18"/>
        </w:numPr>
        <w:tabs>
          <w:tab w:val="left" w:pos="425"/>
          <w:tab w:val="left" w:pos="900"/>
          <w:tab w:val="left" w:pos="1571"/>
        </w:tabs>
        <w:spacing w:line="380" w:lineRule="atLeast"/>
        <w:ind w:left="2127" w:hanging="426" w:firstLineChars="0"/>
        <w:rPr>
          <w:rFonts w:eastAsia="楷体_GB2312"/>
          <w:sz w:val="24"/>
        </w:rPr>
      </w:pPr>
      <w:bookmarkStart w:id="371" w:name="_Ref156558991"/>
      <w:bookmarkStart w:id="372" w:name="_Ref150542634"/>
      <w:r>
        <w:rPr>
          <w:rFonts w:eastAsia="楷体_GB2312"/>
          <w:sz w:val="24"/>
        </w:rPr>
        <w:t>转入“收益账”项下一定数额资金，以确保“收益账”项下资金可以足额支付或计提本合同第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第(1)项</w:t>
      </w:r>
      <w:r>
        <w:rPr>
          <w:rFonts w:eastAsia="楷体_GB2312"/>
          <w:sz w:val="24"/>
        </w:rPr>
        <w:t>至第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第(6)项</w:t>
      </w:r>
      <w:r>
        <w:rPr>
          <w:rFonts w:eastAsia="楷体_GB2312"/>
          <w:sz w:val="24"/>
        </w:rPr>
        <w:t>约定的应付款项；</w:t>
      </w:r>
      <w:bookmarkEnd w:id="371"/>
      <w:bookmarkEnd w:id="372"/>
    </w:p>
    <w:p w14:paraId="119277AB">
      <w:pPr>
        <w:spacing w:line="380" w:lineRule="atLeast"/>
        <w:rPr>
          <w:rFonts w:eastAsia="楷体_GB2312"/>
          <w:sz w:val="24"/>
        </w:rPr>
      </w:pPr>
    </w:p>
    <w:p w14:paraId="3B05A53A">
      <w:pPr>
        <w:pStyle w:val="78"/>
        <w:numPr>
          <w:ilvl w:val="0"/>
          <w:numId w:val="18"/>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支付“优先A档资产支持证券”的本金，直至“优先A档资产支持证券”的本金全部清偿完毕；</w:t>
      </w:r>
    </w:p>
    <w:p w14:paraId="62A06E32">
      <w:pPr>
        <w:spacing w:line="380" w:lineRule="atLeast"/>
        <w:rPr>
          <w:rFonts w:eastAsia="楷体_GB2312"/>
          <w:sz w:val="24"/>
        </w:rPr>
      </w:pPr>
    </w:p>
    <w:p w14:paraId="3FB062FC">
      <w:pPr>
        <w:pStyle w:val="78"/>
        <w:numPr>
          <w:ilvl w:val="0"/>
          <w:numId w:val="18"/>
        </w:numPr>
        <w:tabs>
          <w:tab w:val="left" w:pos="425"/>
          <w:tab w:val="left" w:pos="900"/>
          <w:tab w:val="left" w:pos="1571"/>
        </w:tabs>
        <w:spacing w:line="380" w:lineRule="atLeast"/>
        <w:ind w:left="2127" w:hanging="426" w:firstLineChars="0"/>
        <w:rPr>
          <w:rFonts w:eastAsia="楷体_GB2312"/>
          <w:sz w:val="24"/>
        </w:rPr>
      </w:pPr>
      <w:bookmarkStart w:id="373" w:name="_Ref120356330"/>
      <w:r>
        <w:rPr>
          <w:rFonts w:eastAsia="楷体_GB2312"/>
          <w:sz w:val="24"/>
        </w:rPr>
        <w:t>支付“优先B档资产支持证券”的本金，直至“优先B档资产支持证券”的本金清偿完毕；</w:t>
      </w:r>
      <w:bookmarkEnd w:id="373"/>
    </w:p>
    <w:p w14:paraId="6CD229D2">
      <w:pPr>
        <w:spacing w:line="380" w:lineRule="atLeast"/>
        <w:ind w:left="1276"/>
        <w:rPr>
          <w:rFonts w:eastAsia="楷体_GB2312"/>
          <w:sz w:val="24"/>
        </w:rPr>
      </w:pPr>
    </w:p>
    <w:p w14:paraId="559B5A0B">
      <w:pPr>
        <w:pStyle w:val="78"/>
        <w:numPr>
          <w:ilvl w:val="0"/>
          <w:numId w:val="18"/>
        </w:numPr>
        <w:tabs>
          <w:tab w:val="left" w:pos="425"/>
          <w:tab w:val="left" w:pos="900"/>
          <w:tab w:val="left" w:pos="1571"/>
        </w:tabs>
        <w:spacing w:line="380" w:lineRule="atLeast"/>
        <w:ind w:left="2127" w:hanging="426" w:firstLineChars="0"/>
        <w:rPr>
          <w:rFonts w:eastAsia="楷体_GB2312"/>
          <w:sz w:val="24"/>
        </w:rPr>
      </w:pPr>
      <w:bookmarkStart w:id="374" w:name="_Ref120420254"/>
      <w:r>
        <w:rPr>
          <w:rFonts w:eastAsia="楷体_GB2312"/>
          <w:sz w:val="24"/>
        </w:rPr>
        <w:t>支付“次级资产支持证券”的本金，直至“次级资产支持证券”的本金清偿完毕；</w:t>
      </w:r>
    </w:p>
    <w:p w14:paraId="43DA4278">
      <w:pPr>
        <w:pStyle w:val="78"/>
        <w:ind w:firstLine="480"/>
        <w:rPr>
          <w:rFonts w:eastAsia="楷体_GB2312"/>
          <w:sz w:val="24"/>
        </w:rPr>
      </w:pPr>
    </w:p>
    <w:p w14:paraId="2734D3B5">
      <w:pPr>
        <w:pStyle w:val="78"/>
        <w:numPr>
          <w:ilvl w:val="0"/>
          <w:numId w:val="18"/>
        </w:numPr>
        <w:tabs>
          <w:tab w:val="left" w:pos="425"/>
          <w:tab w:val="left" w:pos="900"/>
          <w:tab w:val="left" w:pos="1571"/>
        </w:tabs>
        <w:spacing w:line="380" w:lineRule="atLeast"/>
        <w:ind w:left="2127" w:hanging="426" w:firstLineChars="0"/>
        <w:rPr>
          <w:rFonts w:eastAsia="楷体_GB2312"/>
          <w:sz w:val="24"/>
        </w:rPr>
      </w:pPr>
      <w:bookmarkStart w:id="375" w:name="_Ref59060855"/>
      <w:r>
        <w:rPr>
          <w:rFonts w:eastAsia="楷体_GB2312"/>
          <w:sz w:val="24"/>
        </w:rPr>
        <w:t>剩余资金作为“次级资产支持证券”的收益支付给“次级资产支持证券持有人”。</w:t>
      </w:r>
      <w:bookmarkEnd w:id="374"/>
      <w:bookmarkEnd w:id="375"/>
    </w:p>
    <w:p w14:paraId="30AA7FA0">
      <w:pPr>
        <w:tabs>
          <w:tab w:val="left" w:pos="1985"/>
        </w:tabs>
        <w:spacing w:line="380" w:lineRule="exact"/>
        <w:ind w:left="1701"/>
        <w:rPr>
          <w:rFonts w:eastAsia="楷体_GB2312"/>
          <w:b/>
          <w:bCs/>
          <w:i/>
          <w:iCs/>
          <w:color w:val="FF0000"/>
          <w:sz w:val="24"/>
        </w:rPr>
      </w:pPr>
      <w:bookmarkStart w:id="376" w:name="_Hlk123827141"/>
      <w:r>
        <w:rPr>
          <w:rFonts w:eastAsia="楷体_GB2312"/>
          <w:b/>
          <w:i/>
          <w:iCs/>
          <w:color w:val="FF0000"/>
          <w:sz w:val="24"/>
        </w:rPr>
        <w:t>【注：违约事件/信托终止日前回收款的分配顺序可根据具体项目情况调</w:t>
      </w:r>
      <w:r>
        <w:rPr>
          <w:rFonts w:eastAsia="楷体_GB2312"/>
          <w:b/>
          <w:bCs/>
          <w:i/>
          <w:iCs/>
          <w:color w:val="FF0000"/>
          <w:sz w:val="24"/>
        </w:rPr>
        <w:t>整。】</w:t>
      </w:r>
      <w:bookmarkEnd w:id="376"/>
    </w:p>
    <w:p w14:paraId="17EEF1CC">
      <w:pPr>
        <w:spacing w:line="380" w:lineRule="atLeast"/>
        <w:ind w:left="2340" w:hanging="1064"/>
        <w:rPr>
          <w:rFonts w:eastAsia="楷体_GB2312"/>
          <w:b/>
          <w:sz w:val="24"/>
        </w:rPr>
      </w:pPr>
    </w:p>
    <w:p w14:paraId="44BEDC53">
      <w:pPr>
        <w:numPr>
          <w:ilvl w:val="1"/>
          <w:numId w:val="4"/>
        </w:numPr>
        <w:spacing w:line="380" w:lineRule="atLeast"/>
        <w:outlineLvl w:val="1"/>
        <w:rPr>
          <w:rFonts w:eastAsia="楷体_GB2312"/>
          <w:b/>
          <w:sz w:val="24"/>
        </w:rPr>
      </w:pPr>
      <w:bookmarkStart w:id="377" w:name="_Ref173768326"/>
      <w:bookmarkStart w:id="378" w:name="_Ref180850304"/>
      <w:r>
        <w:rPr>
          <w:rFonts w:eastAsia="楷体_GB2312"/>
          <w:b/>
          <w:sz w:val="24"/>
        </w:rPr>
        <w:t>违约事件发生后</w:t>
      </w:r>
      <w:bookmarkEnd w:id="377"/>
      <w:r>
        <w:rPr>
          <w:rFonts w:eastAsia="楷体_GB2312"/>
          <w:b/>
          <w:sz w:val="24"/>
        </w:rPr>
        <w:t>的回收款分配</w:t>
      </w:r>
      <w:bookmarkEnd w:id="378"/>
    </w:p>
    <w:p w14:paraId="69174559">
      <w:pPr>
        <w:spacing w:line="360" w:lineRule="auto"/>
        <w:ind w:left="851"/>
        <w:rPr>
          <w:rFonts w:eastAsia="楷体_GB2312"/>
          <w:b/>
          <w:bCs/>
          <w:i/>
          <w:iCs/>
          <w:color w:val="FF0000"/>
          <w:kern w:val="2"/>
          <w:sz w:val="24"/>
          <w:szCs w:val="24"/>
        </w:rPr>
      </w:pPr>
      <w:r>
        <w:rPr>
          <w:rFonts w:eastAsia="楷体_GB2312"/>
          <w:b/>
          <w:bCs/>
          <w:i/>
          <w:iCs/>
          <w:color w:val="FF0000"/>
          <w:kern w:val="2"/>
          <w:sz w:val="24"/>
          <w:szCs w:val="24"/>
        </w:rPr>
        <w:t>【注：</w:t>
      </w:r>
      <w:r>
        <w:rPr>
          <w:rFonts w:eastAsia="楷体_GB2312"/>
          <w:b/>
          <w:bCs/>
          <w:i/>
          <w:iCs/>
          <w:color w:val="FF0000"/>
          <w:sz w:val="24"/>
        </w:rPr>
        <w:t>具体项目的现金流分配顺序待根据实际情况调整。</w:t>
      </w:r>
      <w:r>
        <w:rPr>
          <w:rFonts w:eastAsia="楷体_GB2312"/>
          <w:b/>
          <w:bCs/>
          <w:i/>
          <w:iCs/>
          <w:color w:val="FF0000"/>
          <w:kern w:val="2"/>
          <w:sz w:val="24"/>
          <w:szCs w:val="24"/>
        </w:rPr>
        <w:t>】</w:t>
      </w:r>
    </w:p>
    <w:p w14:paraId="3CCC686F">
      <w:pPr>
        <w:spacing w:line="360" w:lineRule="auto"/>
        <w:ind w:left="851"/>
        <w:rPr>
          <w:rFonts w:eastAsia="楷体_GB2312"/>
          <w:b/>
          <w:bCs/>
          <w:i/>
          <w:iCs/>
          <w:color w:val="FF0000"/>
          <w:kern w:val="2"/>
          <w:sz w:val="24"/>
          <w:szCs w:val="24"/>
        </w:rPr>
      </w:pPr>
    </w:p>
    <w:p w14:paraId="08CF42E5">
      <w:pPr>
        <w:spacing w:line="380" w:lineRule="atLeast"/>
        <w:ind w:left="1080"/>
        <w:rPr>
          <w:rFonts w:eastAsia="楷体_GB2312"/>
          <w:sz w:val="24"/>
        </w:rPr>
      </w:pPr>
      <w:r>
        <w:rPr>
          <w:rFonts w:eastAsia="楷体_GB2312"/>
          <w:sz w:val="24"/>
        </w:rPr>
        <w:t>在“违约事件”发生后的每个“信托利益核算日”，“受托人”应将前一个“收款期间”内收到的“回收款”以及于该“信托利益核算日”分别按照本合同第</w:t>
      </w:r>
      <w:r>
        <w:rPr>
          <w:rFonts w:eastAsia="楷体_GB2312"/>
        </w:rPr>
        <w:fldChar w:fldCharType="begin"/>
      </w:r>
      <w:r>
        <w:rPr>
          <w:rFonts w:eastAsia="楷体_GB2312"/>
        </w:rPr>
        <w:instrText xml:space="preserve"> REF _Ref180852012 \r \h  \* MERGEFORMAT </w:instrText>
      </w:r>
      <w:r>
        <w:rPr>
          <w:rFonts w:eastAsia="楷体_GB2312"/>
        </w:rPr>
        <w:fldChar w:fldCharType="separate"/>
      </w:r>
      <w:r>
        <w:rPr>
          <w:rFonts w:eastAsia="楷体_GB2312"/>
          <w:sz w:val="24"/>
        </w:rPr>
        <w:t>10.6</w:t>
      </w:r>
      <w:r>
        <w:rPr>
          <w:rFonts w:eastAsia="楷体_GB2312"/>
        </w:rPr>
        <w:fldChar w:fldCharType="end"/>
      </w:r>
      <w:r>
        <w:rPr>
          <w:rFonts w:eastAsia="楷体_GB2312"/>
          <w:sz w:val="24"/>
        </w:rPr>
        <w:t>款、第</w:t>
      </w:r>
      <w:r>
        <w:rPr>
          <w:rFonts w:eastAsia="楷体_GB2312"/>
          <w:sz w:val="24"/>
        </w:rPr>
        <w:fldChar w:fldCharType="begin"/>
      </w:r>
      <w:r>
        <w:rPr>
          <w:rFonts w:eastAsia="楷体_GB2312"/>
          <w:sz w:val="24"/>
        </w:rPr>
        <w:instrText xml:space="preserve"> REF _Ref221969560 \r \h </w:instrText>
      </w:r>
      <w:r>
        <w:rPr>
          <w:rFonts w:eastAsia="楷体_GB2312"/>
          <w:sz w:val="24"/>
        </w:rPr>
        <w:fldChar w:fldCharType="separate"/>
      </w:r>
      <w:r>
        <w:rPr>
          <w:rFonts w:eastAsia="楷体_GB2312"/>
          <w:sz w:val="24"/>
        </w:rPr>
        <w:t>10.7.2</w:t>
      </w:r>
      <w:r>
        <w:rPr>
          <w:rFonts w:eastAsia="楷体_GB2312"/>
          <w:sz w:val="24"/>
        </w:rPr>
        <w:fldChar w:fldCharType="end"/>
      </w:r>
      <w:r>
        <w:rPr>
          <w:rFonts w:eastAsia="楷体_GB2312"/>
          <w:sz w:val="24"/>
        </w:rPr>
        <w:t>款的约定从相应“信托账”转入“收益账”及“本金账”的总金额按以下顺序进行分配（如同一顺序的多笔款项不足以支付，则按各笔款项应受偿金额的比例支付，各项所差金额应按以下顺序在下一期支付）：</w:t>
      </w:r>
    </w:p>
    <w:p w14:paraId="1245F322">
      <w:pPr>
        <w:spacing w:line="380" w:lineRule="atLeast"/>
        <w:rPr>
          <w:rFonts w:eastAsia="楷体_GB2312"/>
          <w:b/>
          <w:sz w:val="24"/>
        </w:rPr>
      </w:pPr>
    </w:p>
    <w:p w14:paraId="208D0BB6">
      <w:pPr>
        <w:numPr>
          <w:ilvl w:val="2"/>
          <w:numId w:val="4"/>
        </w:numPr>
        <w:tabs>
          <w:tab w:val="left" w:pos="900"/>
        </w:tabs>
        <w:spacing w:line="380" w:lineRule="atLeast"/>
        <w:ind w:left="1620" w:hanging="769"/>
        <w:rPr>
          <w:rFonts w:eastAsia="楷体_GB2312"/>
          <w:sz w:val="24"/>
        </w:rPr>
      </w:pPr>
      <w:bookmarkStart w:id="379" w:name="_Ref150893330"/>
      <w:r>
        <w:rPr>
          <w:rFonts w:eastAsia="楷体_GB2312"/>
          <w:sz w:val="24"/>
        </w:rPr>
        <w:t>将依据“中国法律”由“受托人”缴纳的与“信托”相关的税收和规费（包括但不限于增值税及附加、所得税、“受托人”因受托“信托”业务而增加的业务规费（如有）等）以及“受托人”估算的其他与税收有关的合理金额（如有）相等数额的资金记入“税收专用账”；</w:t>
      </w:r>
      <w:bookmarkEnd w:id="379"/>
    </w:p>
    <w:p w14:paraId="5E070CF9">
      <w:pPr>
        <w:spacing w:line="380" w:lineRule="atLeast"/>
        <w:ind w:left="1080"/>
        <w:rPr>
          <w:rFonts w:eastAsia="楷体_GB2312"/>
          <w:sz w:val="24"/>
        </w:rPr>
      </w:pPr>
    </w:p>
    <w:p w14:paraId="4F898DB7">
      <w:pPr>
        <w:numPr>
          <w:ilvl w:val="2"/>
          <w:numId w:val="4"/>
        </w:numPr>
        <w:tabs>
          <w:tab w:val="left" w:pos="900"/>
        </w:tabs>
        <w:spacing w:line="380" w:lineRule="atLeast"/>
        <w:ind w:left="1620" w:hanging="769"/>
        <w:rPr>
          <w:rFonts w:eastAsia="楷体_GB2312"/>
          <w:sz w:val="24"/>
        </w:rPr>
      </w:pPr>
      <w:bookmarkStart w:id="380" w:name="_Ref173869661"/>
      <w:r>
        <w:rPr>
          <w:rFonts w:eastAsia="楷体_GB2312"/>
          <w:sz w:val="24"/>
        </w:rPr>
        <w:t>同顺序支付各项“发行费用”（包括“受托机构”垫付的该等费用（如有））；</w:t>
      </w:r>
    </w:p>
    <w:bookmarkEnd w:id="380"/>
    <w:p w14:paraId="6B0E767A">
      <w:pPr>
        <w:spacing w:line="380" w:lineRule="atLeast"/>
        <w:ind w:left="1080"/>
        <w:rPr>
          <w:rFonts w:eastAsia="楷体_GB2312"/>
          <w:sz w:val="24"/>
        </w:rPr>
      </w:pPr>
    </w:p>
    <w:p w14:paraId="24E40DB9">
      <w:pPr>
        <w:numPr>
          <w:ilvl w:val="2"/>
          <w:numId w:val="4"/>
        </w:numPr>
        <w:tabs>
          <w:tab w:val="left" w:pos="900"/>
        </w:tabs>
        <w:spacing w:line="380" w:lineRule="atLeast"/>
        <w:ind w:left="1620" w:hanging="769"/>
        <w:rPr>
          <w:rFonts w:eastAsia="楷体_GB2312"/>
          <w:sz w:val="24"/>
        </w:rPr>
      </w:pPr>
      <w:bookmarkStart w:id="381" w:name="_Ref150893332"/>
      <w:r>
        <w:rPr>
          <w:rFonts w:eastAsia="楷体_GB2312"/>
          <w:sz w:val="24"/>
        </w:rPr>
        <w:t>同顺序支付</w:t>
      </w:r>
      <w:r>
        <w:rPr>
          <w:rFonts w:eastAsia="楷体_GB2312"/>
          <w:color w:val="000000"/>
          <w:sz w:val="24"/>
        </w:rPr>
        <w:t>(1)“支付代理机构”的报酬、(2)“受托人”的报酬、(3)“资金保管机构”的报酬、(4)“评级机构”提供跟踪评级服务的报酬、(5)“审计师”的报酬、(6)“后备贷款服务机构”（如有）的报酬、(7)“受托人”因“清仓回购”而聘请第三方专业机构</w:t>
      </w:r>
      <w:r>
        <w:rPr>
          <w:rFonts w:hint="eastAsia" w:eastAsia="楷体_GB2312"/>
          <w:color w:val="000000"/>
          <w:sz w:val="24"/>
        </w:rPr>
        <w:t>对</w:t>
      </w:r>
      <w:r>
        <w:rPr>
          <w:rFonts w:eastAsia="楷体_GB2312"/>
          <w:color w:val="000000"/>
          <w:sz w:val="24"/>
        </w:rPr>
        <w:t>剩余“资产池”进行评估所发生的费用</w:t>
      </w:r>
      <w:r>
        <w:rPr>
          <w:rFonts w:hint="eastAsia" w:eastAsia="楷体_GB2312"/>
          <w:color w:val="000000"/>
          <w:sz w:val="24"/>
        </w:rPr>
        <w:t>、</w:t>
      </w:r>
      <w:r>
        <w:rPr>
          <w:rFonts w:eastAsia="楷体_GB2312"/>
          <w:color w:val="000000"/>
          <w:sz w:val="24"/>
        </w:rPr>
        <w:t>(</w:t>
      </w:r>
      <w:r>
        <w:rPr>
          <w:rFonts w:hint="eastAsia" w:eastAsia="楷体_GB2312"/>
          <w:color w:val="000000"/>
          <w:sz w:val="24"/>
        </w:rPr>
        <w:t>8</w:t>
      </w:r>
      <w:r>
        <w:rPr>
          <w:rFonts w:eastAsia="楷体_GB2312"/>
          <w:color w:val="000000"/>
          <w:sz w:val="24"/>
        </w:rPr>
        <w:t>)上述相关主体和“贷款服务机构”各自可报销“费用支出”（包括以往各期未付金额）、(</w:t>
      </w:r>
      <w:r>
        <w:rPr>
          <w:rFonts w:hint="eastAsia" w:eastAsia="楷体_GB2312"/>
          <w:color w:val="000000"/>
          <w:sz w:val="24"/>
        </w:rPr>
        <w:t>9</w:t>
      </w:r>
      <w:r>
        <w:rPr>
          <w:rFonts w:eastAsia="楷体_GB2312"/>
          <w:color w:val="000000"/>
          <w:sz w:val="24"/>
        </w:rPr>
        <w:t>)“受托人”按照本合同的约定以固有财产垫付的代为发送“权利完善通知”所发生的费用（如有）</w:t>
      </w:r>
      <w:r>
        <w:rPr>
          <w:rFonts w:eastAsia="楷体_GB2312"/>
          <w:sz w:val="24"/>
        </w:rPr>
        <w:t>；</w:t>
      </w:r>
      <w:bookmarkEnd w:id="381"/>
    </w:p>
    <w:p w14:paraId="5BEF3F28">
      <w:pPr>
        <w:spacing w:line="360" w:lineRule="auto"/>
        <w:ind w:left="1418"/>
        <w:rPr>
          <w:rFonts w:eastAsia="楷体_GB2312"/>
          <w:b/>
          <w:bCs/>
          <w:i/>
          <w:iCs/>
          <w:color w:val="FF0000"/>
          <w:kern w:val="2"/>
          <w:sz w:val="24"/>
          <w:szCs w:val="24"/>
        </w:rPr>
      </w:pPr>
      <w:r>
        <w:rPr>
          <w:rFonts w:eastAsia="楷体_GB2312"/>
          <w:b/>
          <w:bCs/>
          <w:i/>
          <w:iCs/>
          <w:color w:val="FF0000"/>
          <w:kern w:val="2"/>
          <w:sz w:val="24"/>
          <w:szCs w:val="24"/>
        </w:rPr>
        <w:t>【注：由信托财产承担的费用，可根据项目实际情况进行调整。】</w:t>
      </w:r>
    </w:p>
    <w:p w14:paraId="0456D047">
      <w:pPr>
        <w:spacing w:line="380" w:lineRule="atLeast"/>
        <w:ind w:left="1080"/>
        <w:rPr>
          <w:rFonts w:eastAsia="楷体_GB2312"/>
          <w:sz w:val="24"/>
        </w:rPr>
      </w:pPr>
    </w:p>
    <w:p w14:paraId="1180F91B">
      <w:pPr>
        <w:numPr>
          <w:ilvl w:val="2"/>
          <w:numId w:val="4"/>
        </w:numPr>
        <w:tabs>
          <w:tab w:val="left" w:pos="900"/>
        </w:tabs>
        <w:spacing w:line="380" w:lineRule="atLeast"/>
        <w:ind w:left="1620" w:hanging="769"/>
        <w:rPr>
          <w:rFonts w:eastAsia="楷体_GB2312"/>
          <w:sz w:val="24"/>
        </w:rPr>
      </w:pPr>
      <w:r>
        <w:rPr>
          <w:rFonts w:eastAsia="楷体_GB2312"/>
          <w:sz w:val="24"/>
        </w:rPr>
        <w:t>支付下一个“支付日”应支付的“优先A档资产支持证券”的利息（包括以往各期未付利息）；</w:t>
      </w:r>
    </w:p>
    <w:p w14:paraId="1BE134F6">
      <w:pPr>
        <w:spacing w:line="380" w:lineRule="atLeast"/>
        <w:ind w:left="1080"/>
        <w:rPr>
          <w:rFonts w:eastAsia="楷体_GB2312"/>
          <w:sz w:val="24"/>
        </w:rPr>
      </w:pPr>
    </w:p>
    <w:p w14:paraId="29B98507">
      <w:pPr>
        <w:numPr>
          <w:ilvl w:val="2"/>
          <w:numId w:val="4"/>
        </w:numPr>
        <w:tabs>
          <w:tab w:val="left" w:pos="900"/>
        </w:tabs>
        <w:spacing w:line="380" w:lineRule="atLeast"/>
        <w:ind w:left="1620" w:hanging="769"/>
        <w:rPr>
          <w:rFonts w:eastAsia="楷体_GB2312"/>
          <w:sz w:val="24"/>
        </w:rPr>
      </w:pPr>
      <w:r>
        <w:rPr>
          <w:rFonts w:eastAsia="楷体_GB2312"/>
          <w:sz w:val="24"/>
        </w:rPr>
        <w:t>支付“优先A档资产支持证券”的本金，直至“优先A档资产支持证券”</w:t>
      </w:r>
      <w:r>
        <w:rPr>
          <w:rFonts w:eastAsia="楷体_GB2312"/>
          <w:bCs/>
          <w:sz w:val="24"/>
        </w:rPr>
        <w:t>的本金</w:t>
      </w:r>
      <w:r>
        <w:rPr>
          <w:rFonts w:eastAsia="楷体_GB2312"/>
          <w:sz w:val="24"/>
        </w:rPr>
        <w:t>清偿完毕；</w:t>
      </w:r>
    </w:p>
    <w:p w14:paraId="4D313835">
      <w:pPr>
        <w:spacing w:line="380" w:lineRule="atLeast"/>
        <w:rPr>
          <w:rFonts w:eastAsia="楷体_GB2312"/>
          <w:b/>
          <w:bCs/>
          <w:sz w:val="24"/>
        </w:rPr>
      </w:pPr>
    </w:p>
    <w:p w14:paraId="74461AD9">
      <w:pPr>
        <w:numPr>
          <w:ilvl w:val="2"/>
          <w:numId w:val="4"/>
        </w:numPr>
        <w:tabs>
          <w:tab w:val="left" w:pos="900"/>
        </w:tabs>
        <w:spacing w:line="380" w:lineRule="atLeast"/>
        <w:ind w:left="1620" w:hanging="769"/>
        <w:rPr>
          <w:rFonts w:eastAsia="楷体_GB2312"/>
          <w:sz w:val="24"/>
        </w:rPr>
      </w:pPr>
      <w:r>
        <w:rPr>
          <w:rFonts w:eastAsia="楷体_GB2312"/>
          <w:sz w:val="24"/>
        </w:rPr>
        <w:t>支付下一个“支付日”应支付的“优先B档资产支持证券”的利息（包括以往各期未付利息）；</w:t>
      </w:r>
    </w:p>
    <w:p w14:paraId="4080EF9E">
      <w:pPr>
        <w:spacing w:line="380" w:lineRule="atLeast"/>
        <w:ind w:left="1080"/>
        <w:rPr>
          <w:rFonts w:eastAsia="楷体_GB2312"/>
          <w:b/>
          <w:sz w:val="24"/>
        </w:rPr>
      </w:pPr>
    </w:p>
    <w:p w14:paraId="2D7552BF">
      <w:pPr>
        <w:numPr>
          <w:ilvl w:val="2"/>
          <w:numId w:val="4"/>
        </w:numPr>
        <w:tabs>
          <w:tab w:val="left" w:pos="900"/>
        </w:tabs>
        <w:spacing w:line="380" w:lineRule="atLeast"/>
        <w:ind w:left="1620" w:hanging="769"/>
        <w:rPr>
          <w:rFonts w:eastAsia="楷体_GB2312"/>
          <w:sz w:val="24"/>
        </w:rPr>
      </w:pPr>
      <w:r>
        <w:rPr>
          <w:rFonts w:eastAsia="楷体_GB2312"/>
          <w:sz w:val="24"/>
        </w:rPr>
        <w:t>支付“优先B档资产支持证券”的本金，直至“优先B档资产支持证券”的本金清偿完毕；</w:t>
      </w:r>
    </w:p>
    <w:p w14:paraId="08F434C5">
      <w:pPr>
        <w:pStyle w:val="78"/>
        <w:ind w:firstLine="480"/>
        <w:rPr>
          <w:rFonts w:eastAsia="楷体_GB2312"/>
          <w:sz w:val="24"/>
        </w:rPr>
      </w:pPr>
    </w:p>
    <w:p w14:paraId="1B9912B4">
      <w:pPr>
        <w:numPr>
          <w:ilvl w:val="2"/>
          <w:numId w:val="4"/>
        </w:numPr>
        <w:tabs>
          <w:tab w:val="left" w:pos="900"/>
        </w:tabs>
        <w:spacing w:line="380" w:lineRule="atLeast"/>
        <w:ind w:left="1620" w:hanging="769"/>
        <w:rPr>
          <w:rFonts w:eastAsia="楷体_GB2312"/>
          <w:sz w:val="24"/>
        </w:rPr>
      </w:pPr>
      <w:r>
        <w:rPr>
          <w:rFonts w:eastAsia="楷体_GB2312"/>
          <w:sz w:val="24"/>
        </w:rPr>
        <w:t>计提当期根据“《贷款服务机构收费函》”应收取的“贷款服务机构”“资产服务费”；</w:t>
      </w:r>
    </w:p>
    <w:p w14:paraId="5A6F5283">
      <w:pPr>
        <w:spacing w:line="380" w:lineRule="atLeast"/>
        <w:ind w:left="1080"/>
        <w:rPr>
          <w:rFonts w:eastAsia="楷体_GB2312"/>
          <w:sz w:val="24"/>
        </w:rPr>
      </w:pPr>
    </w:p>
    <w:p w14:paraId="7BBD6499">
      <w:pPr>
        <w:numPr>
          <w:ilvl w:val="2"/>
          <w:numId w:val="4"/>
        </w:numPr>
        <w:tabs>
          <w:tab w:val="left" w:pos="900"/>
        </w:tabs>
        <w:spacing w:line="380" w:lineRule="atLeast"/>
        <w:ind w:left="1620" w:hanging="769"/>
        <w:rPr>
          <w:rFonts w:eastAsia="楷体_GB2312"/>
          <w:sz w:val="24"/>
        </w:rPr>
      </w:pPr>
      <w:r>
        <w:rPr>
          <w:rFonts w:eastAsia="楷体_GB2312"/>
          <w:sz w:val="24"/>
        </w:rPr>
        <w:t>支付“次级资产支持证券”的本金，直至“次级资产支持证券”的本金清偿完毕；</w:t>
      </w:r>
    </w:p>
    <w:p w14:paraId="2BC928D6">
      <w:pPr>
        <w:spacing w:line="380" w:lineRule="atLeast"/>
        <w:rPr>
          <w:rFonts w:eastAsia="楷体_GB2312"/>
          <w:sz w:val="24"/>
        </w:rPr>
      </w:pPr>
    </w:p>
    <w:p w14:paraId="5F3058E8">
      <w:pPr>
        <w:numPr>
          <w:ilvl w:val="2"/>
          <w:numId w:val="4"/>
        </w:numPr>
        <w:tabs>
          <w:tab w:val="left" w:pos="900"/>
        </w:tabs>
        <w:spacing w:line="380" w:lineRule="atLeast"/>
        <w:ind w:left="1620" w:hanging="769"/>
        <w:rPr>
          <w:rFonts w:eastAsia="楷体_GB2312"/>
          <w:sz w:val="24"/>
        </w:rPr>
      </w:pPr>
      <w:r>
        <w:rPr>
          <w:rFonts w:eastAsia="楷体_GB2312"/>
          <w:sz w:val="24"/>
        </w:rPr>
        <w:t>剩余资金作为“次级资产支持证券”的收益支付给“次级资产支持证券持有人”。</w:t>
      </w:r>
    </w:p>
    <w:p w14:paraId="5CCF9AD7">
      <w:pPr>
        <w:spacing w:line="360" w:lineRule="auto"/>
        <w:ind w:left="1418"/>
        <w:rPr>
          <w:rFonts w:eastAsia="楷体_GB2312"/>
          <w:b/>
          <w:bCs/>
          <w:i/>
          <w:iCs/>
          <w:color w:val="FF0000"/>
          <w:kern w:val="2"/>
          <w:sz w:val="24"/>
          <w:szCs w:val="24"/>
        </w:rPr>
      </w:pPr>
      <w:r>
        <w:rPr>
          <w:rFonts w:eastAsia="楷体_GB2312"/>
          <w:b/>
          <w:bCs/>
          <w:i/>
          <w:iCs/>
          <w:color w:val="FF0000"/>
          <w:kern w:val="2"/>
          <w:sz w:val="24"/>
          <w:szCs w:val="24"/>
        </w:rPr>
        <w:t>【注：收益分配机制可根据项目实际情况进行调整。】</w:t>
      </w:r>
    </w:p>
    <w:p w14:paraId="23740CCA">
      <w:pPr>
        <w:spacing w:line="380" w:lineRule="atLeast"/>
        <w:ind w:left="1080"/>
        <w:rPr>
          <w:rFonts w:eastAsia="楷体_GB2312"/>
          <w:b/>
          <w:sz w:val="24"/>
        </w:rPr>
      </w:pPr>
    </w:p>
    <w:p w14:paraId="361B5D54">
      <w:pPr>
        <w:numPr>
          <w:ilvl w:val="1"/>
          <w:numId w:val="4"/>
        </w:numPr>
        <w:spacing w:line="380" w:lineRule="atLeast"/>
        <w:outlineLvl w:val="1"/>
        <w:rPr>
          <w:rFonts w:eastAsia="楷体_GB2312"/>
          <w:sz w:val="24"/>
        </w:rPr>
      </w:pPr>
      <w:bookmarkStart w:id="382" w:name="_Ref180852012"/>
      <w:bookmarkStart w:id="383" w:name="_Ref180850323"/>
      <w:r>
        <w:rPr>
          <w:rFonts w:eastAsia="楷体_GB2312"/>
          <w:b/>
          <w:sz w:val="24"/>
        </w:rPr>
        <w:t>税收专用账项下资金的运用</w:t>
      </w:r>
      <w:bookmarkEnd w:id="382"/>
      <w:bookmarkEnd w:id="383"/>
    </w:p>
    <w:p w14:paraId="52D81EFB">
      <w:pPr>
        <w:spacing w:line="380" w:lineRule="atLeast"/>
        <w:ind w:left="425"/>
        <w:rPr>
          <w:rFonts w:eastAsia="楷体_GB2312"/>
          <w:sz w:val="24"/>
        </w:rPr>
      </w:pPr>
    </w:p>
    <w:p w14:paraId="48295741">
      <w:pPr>
        <w:numPr>
          <w:ilvl w:val="2"/>
          <w:numId w:val="4"/>
        </w:numPr>
        <w:spacing w:line="380" w:lineRule="atLeast"/>
        <w:ind w:left="1560" w:hanging="709"/>
        <w:rPr>
          <w:rFonts w:eastAsia="楷体_GB2312"/>
          <w:sz w:val="24"/>
        </w:rPr>
      </w:pPr>
      <w:r>
        <w:rPr>
          <w:rFonts w:eastAsia="楷体_GB2312"/>
          <w:sz w:val="24"/>
        </w:rPr>
        <w:t>依据“中国法律”，由“受托人”缴纳与“信托”相关的税收和规费，“受托人”指令“资金保管机构”将“税收专用账”项下资金按以下顺序进行支付：</w:t>
      </w:r>
    </w:p>
    <w:p w14:paraId="75052ACF">
      <w:pPr>
        <w:spacing w:line="380" w:lineRule="atLeast"/>
        <w:rPr>
          <w:rFonts w:eastAsia="楷体_GB2312"/>
        </w:rPr>
      </w:pPr>
    </w:p>
    <w:p w14:paraId="62482B00">
      <w:pPr>
        <w:pStyle w:val="78"/>
        <w:numPr>
          <w:ilvl w:val="0"/>
          <w:numId w:val="19"/>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支付“信托”届时应缴纳的税收和规费；</w:t>
      </w:r>
    </w:p>
    <w:p w14:paraId="05A69D1C">
      <w:pPr>
        <w:spacing w:line="380" w:lineRule="atLeast"/>
        <w:ind w:left="851"/>
        <w:rPr>
          <w:rFonts w:eastAsia="楷体_GB2312"/>
          <w:sz w:val="24"/>
        </w:rPr>
      </w:pPr>
    </w:p>
    <w:p w14:paraId="63E5E32F">
      <w:pPr>
        <w:pStyle w:val="78"/>
        <w:numPr>
          <w:ilvl w:val="0"/>
          <w:numId w:val="19"/>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将剩余金额保留在“税收专用账”项下。</w:t>
      </w:r>
    </w:p>
    <w:p w14:paraId="05495BC4">
      <w:pPr>
        <w:spacing w:line="380" w:lineRule="atLeast"/>
        <w:rPr>
          <w:rFonts w:eastAsia="楷体_GB2312"/>
          <w:lang w:val="en-GB"/>
        </w:rPr>
      </w:pPr>
    </w:p>
    <w:p w14:paraId="6A5231F0">
      <w:pPr>
        <w:numPr>
          <w:ilvl w:val="2"/>
          <w:numId w:val="4"/>
        </w:numPr>
        <w:spacing w:line="380" w:lineRule="atLeast"/>
        <w:ind w:left="1560" w:hanging="709"/>
        <w:rPr>
          <w:rFonts w:eastAsia="楷体_GB2312"/>
          <w:sz w:val="24"/>
        </w:rPr>
      </w:pPr>
      <w:bookmarkStart w:id="384" w:name="_Ref331774002"/>
      <w:bookmarkStart w:id="385" w:name="_Ref331774451"/>
      <w:r>
        <w:rPr>
          <w:rFonts w:eastAsia="楷体_GB2312"/>
          <w:sz w:val="24"/>
        </w:rPr>
        <w:t>在“信托”所有应付税收和规费全部支付完成后，“受托人”应指示“资金保管机构”将“税收专用账”项下资金转入“收益账”。</w:t>
      </w:r>
      <w:bookmarkEnd w:id="384"/>
      <w:bookmarkEnd w:id="385"/>
    </w:p>
    <w:p w14:paraId="6E52A5D1">
      <w:pPr>
        <w:tabs>
          <w:tab w:val="left" w:pos="425"/>
          <w:tab w:val="left" w:pos="1571"/>
        </w:tabs>
        <w:spacing w:line="380" w:lineRule="atLeast"/>
        <w:ind w:left="1560"/>
        <w:rPr>
          <w:rFonts w:eastAsia="楷体_GB2312"/>
          <w:sz w:val="24"/>
        </w:rPr>
      </w:pPr>
    </w:p>
    <w:p w14:paraId="73B036C3">
      <w:pPr>
        <w:numPr>
          <w:ilvl w:val="1"/>
          <w:numId w:val="4"/>
        </w:numPr>
        <w:tabs>
          <w:tab w:val="left" w:pos="1571"/>
        </w:tabs>
        <w:spacing w:line="380" w:lineRule="atLeast"/>
        <w:outlineLvl w:val="1"/>
        <w:rPr>
          <w:rFonts w:eastAsia="楷体_GB2312"/>
          <w:sz w:val="24"/>
        </w:rPr>
      </w:pPr>
      <w:bookmarkStart w:id="386" w:name="_Ref221699489"/>
      <w:r>
        <w:rPr>
          <w:rFonts w:eastAsia="楷体_GB2312"/>
          <w:b/>
          <w:sz w:val="24"/>
        </w:rPr>
        <w:t>储备金账项下资金的运用</w:t>
      </w:r>
      <w:bookmarkEnd w:id="386"/>
    </w:p>
    <w:p w14:paraId="4A31D026">
      <w:pPr>
        <w:spacing w:line="360" w:lineRule="auto"/>
        <w:ind w:left="851"/>
        <w:rPr>
          <w:rFonts w:eastAsia="楷体_GB2312"/>
          <w:b/>
          <w:bCs/>
          <w:i/>
          <w:iCs/>
          <w:color w:val="FF0000"/>
          <w:sz w:val="24"/>
        </w:rPr>
      </w:pPr>
      <w:r>
        <w:rPr>
          <w:rFonts w:eastAsia="楷体_GB2312"/>
          <w:b/>
          <w:bCs/>
          <w:i/>
          <w:iCs/>
          <w:color w:val="FF0000"/>
          <w:sz w:val="24"/>
        </w:rPr>
        <w:t>【注：如不设置储备金账，则删除本款及全文关于流动性储备金的相关安排。】</w:t>
      </w:r>
    </w:p>
    <w:p w14:paraId="740B1EA3">
      <w:pPr>
        <w:tabs>
          <w:tab w:val="left" w:pos="425"/>
          <w:tab w:val="left" w:pos="1571"/>
        </w:tabs>
        <w:spacing w:line="380" w:lineRule="atLeast"/>
        <w:ind w:left="992"/>
        <w:rPr>
          <w:rFonts w:eastAsia="楷体_GB2312"/>
          <w:i/>
          <w:iCs/>
          <w:sz w:val="24"/>
        </w:rPr>
      </w:pPr>
    </w:p>
    <w:p w14:paraId="69A35570">
      <w:pPr>
        <w:numPr>
          <w:ilvl w:val="2"/>
          <w:numId w:val="4"/>
        </w:numPr>
        <w:spacing w:line="380" w:lineRule="atLeast"/>
        <w:ind w:left="1560" w:hanging="709"/>
        <w:rPr>
          <w:rFonts w:eastAsia="楷体_GB2312"/>
          <w:sz w:val="24"/>
        </w:rPr>
      </w:pPr>
      <w:bookmarkStart w:id="387" w:name="_Ref221140113"/>
      <w:r>
        <w:rPr>
          <w:rFonts w:eastAsia="楷体_GB2312"/>
          <w:sz w:val="24"/>
        </w:rPr>
        <w:t>在“违约事件”、“信托终止日”发生前</w:t>
      </w:r>
      <w:r>
        <w:rPr>
          <w:rFonts w:eastAsia="楷体_GB2312"/>
          <w:sz w:val="24"/>
          <w:lang w:val="en-GB"/>
        </w:rPr>
        <w:t>且“优先级资产支持证券”清偿完毕前</w:t>
      </w:r>
      <w:r>
        <w:rPr>
          <w:rFonts w:eastAsia="楷体_GB2312"/>
          <w:sz w:val="24"/>
        </w:rPr>
        <w:t>的每个“信托利益核算日”，“受托人”指令“资金保管机构”将“储备金账”项下资金按以下顺序进行支付：</w:t>
      </w:r>
      <w:bookmarkEnd w:id="387"/>
    </w:p>
    <w:p w14:paraId="3A119E34">
      <w:pPr>
        <w:tabs>
          <w:tab w:val="left" w:pos="425"/>
          <w:tab w:val="left" w:pos="1571"/>
        </w:tabs>
        <w:spacing w:line="380" w:lineRule="atLeast"/>
        <w:ind w:left="1560"/>
        <w:rPr>
          <w:rFonts w:eastAsia="楷体_GB2312"/>
          <w:sz w:val="24"/>
        </w:rPr>
      </w:pPr>
    </w:p>
    <w:p w14:paraId="50EEF5AD">
      <w:pPr>
        <w:pStyle w:val="78"/>
        <w:numPr>
          <w:ilvl w:val="0"/>
          <w:numId w:val="20"/>
        </w:numPr>
        <w:tabs>
          <w:tab w:val="left" w:pos="425"/>
          <w:tab w:val="left" w:pos="900"/>
          <w:tab w:val="left" w:pos="1571"/>
        </w:tabs>
        <w:spacing w:line="380" w:lineRule="atLeast"/>
        <w:ind w:left="2127" w:hanging="426" w:firstLineChars="0"/>
        <w:rPr>
          <w:rFonts w:eastAsia="楷体_GB2312"/>
          <w:sz w:val="24"/>
        </w:rPr>
      </w:pPr>
      <w:bookmarkStart w:id="388" w:name="_Ref59061220"/>
      <w:r>
        <w:rPr>
          <w:rFonts w:eastAsia="楷体_GB2312"/>
          <w:sz w:val="24"/>
        </w:rPr>
        <w:t>将超出“流动性储备金限额”的超额款项转入“收益账”</w:t>
      </w:r>
      <w:bookmarkEnd w:id="388"/>
      <w:r>
        <w:rPr>
          <w:rFonts w:eastAsia="楷体_GB2312"/>
          <w:sz w:val="24"/>
        </w:rPr>
        <w:t>；</w:t>
      </w:r>
    </w:p>
    <w:p w14:paraId="7A53BDF1">
      <w:pPr>
        <w:tabs>
          <w:tab w:val="left" w:pos="425"/>
          <w:tab w:val="left" w:pos="1985"/>
          <w:tab w:val="left" w:pos="2073"/>
        </w:tabs>
        <w:spacing w:line="380" w:lineRule="exact"/>
        <w:ind w:left="1701"/>
        <w:rPr>
          <w:rFonts w:eastAsia="楷体_GB2312"/>
          <w:sz w:val="24"/>
        </w:rPr>
      </w:pPr>
    </w:p>
    <w:p w14:paraId="79AACD6B">
      <w:pPr>
        <w:pStyle w:val="78"/>
        <w:numPr>
          <w:ilvl w:val="0"/>
          <w:numId w:val="20"/>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如“收益账”的全部金额（含根据本合同【第</w:t>
      </w:r>
      <w:r>
        <w:rPr>
          <w:rFonts w:eastAsia="楷体_GB2312"/>
          <w:sz w:val="24"/>
        </w:rPr>
        <w:fldChar w:fldCharType="begin"/>
      </w:r>
      <w:r>
        <w:rPr>
          <w:rFonts w:eastAsia="楷体_GB2312"/>
          <w:sz w:val="24"/>
        </w:rPr>
        <w:instrText xml:space="preserve"> REF _Ref51344664 \r \h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w:t>
      </w:r>
      <w:r>
        <w:rPr>
          <w:rFonts w:hint="eastAsia" w:eastAsia="楷体_GB2312"/>
          <w:sz w:val="24"/>
        </w:rPr>
        <w:t>第(1)项</w:t>
      </w:r>
      <w:r>
        <w:rPr>
          <w:rFonts w:eastAsia="楷体_GB2312"/>
          <w:sz w:val="24"/>
        </w:rPr>
        <w:t>、第</w:t>
      </w:r>
      <w:r>
        <w:rPr>
          <w:rFonts w:eastAsia="楷体_GB2312"/>
          <w:sz w:val="24"/>
        </w:rPr>
        <w:fldChar w:fldCharType="begin"/>
      </w:r>
      <w:r>
        <w:rPr>
          <w:rFonts w:eastAsia="楷体_GB2312"/>
          <w:sz w:val="24"/>
        </w:rPr>
        <w:instrText xml:space="preserve"> REF _Ref331774451 \r \h  \* MERGEFORMAT </w:instrText>
      </w:r>
      <w:r>
        <w:rPr>
          <w:rFonts w:eastAsia="楷体_GB2312"/>
          <w:sz w:val="24"/>
        </w:rPr>
        <w:fldChar w:fldCharType="separate"/>
      </w:r>
      <w:r>
        <w:rPr>
          <w:rFonts w:eastAsia="楷体_GB2312"/>
          <w:sz w:val="24"/>
        </w:rPr>
        <w:t>10.6.2</w:t>
      </w:r>
      <w:r>
        <w:rPr>
          <w:rFonts w:eastAsia="楷体_GB2312"/>
          <w:sz w:val="24"/>
        </w:rPr>
        <w:fldChar w:fldCharType="end"/>
      </w:r>
      <w:r>
        <w:rPr>
          <w:rFonts w:eastAsia="楷体_GB2312"/>
          <w:sz w:val="24"/>
        </w:rPr>
        <w:t>款、第</w:t>
      </w:r>
      <w:r>
        <w:rPr>
          <w:rFonts w:eastAsia="楷体_GB2312"/>
          <w:sz w:val="24"/>
        </w:rPr>
        <w:fldChar w:fldCharType="begin"/>
      </w:r>
      <w:r>
        <w:rPr>
          <w:rFonts w:eastAsia="楷体_GB2312"/>
          <w:sz w:val="24"/>
        </w:rPr>
        <w:instrText xml:space="preserve"> REF _Ref221140113 \r \h </w:instrText>
      </w:r>
      <w:r>
        <w:rPr>
          <w:rFonts w:eastAsia="楷体_GB2312"/>
          <w:sz w:val="24"/>
        </w:rPr>
        <w:fldChar w:fldCharType="separate"/>
      </w:r>
      <w:r>
        <w:rPr>
          <w:rFonts w:eastAsia="楷体_GB2312"/>
          <w:sz w:val="24"/>
        </w:rPr>
        <w:t>10.7.1</w:t>
      </w:r>
      <w:r>
        <w:rPr>
          <w:rFonts w:eastAsia="楷体_GB2312"/>
          <w:sz w:val="24"/>
        </w:rPr>
        <w:fldChar w:fldCharType="end"/>
      </w:r>
      <w:r>
        <w:rPr>
          <w:rFonts w:eastAsia="楷体_GB2312"/>
          <w:sz w:val="24"/>
        </w:rPr>
        <w:t>款</w:t>
      </w:r>
      <w:r>
        <w:rPr>
          <w:rFonts w:hint="eastAsia" w:eastAsia="楷体_GB2312"/>
          <w:sz w:val="24"/>
        </w:rPr>
        <w:t>第(1)项</w:t>
      </w:r>
      <w:r>
        <w:rPr>
          <w:rFonts w:eastAsia="楷体_GB2312"/>
          <w:sz w:val="24"/>
        </w:rPr>
        <w:t>】转入的金额）根据本合同第</w:t>
      </w:r>
      <w:r>
        <w:rPr>
          <w:rFonts w:eastAsia="楷体_GB2312"/>
          <w:sz w:val="24"/>
        </w:rPr>
        <w:fldChar w:fldCharType="begin"/>
      </w:r>
      <w:r>
        <w:rPr>
          <w:rFonts w:eastAsia="楷体_GB2312"/>
          <w:sz w:val="24"/>
        </w:rPr>
        <w:instrText xml:space="preserve"> REF _Ref59061308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款约定的支付顺序仍不足以支付</w:t>
      </w:r>
      <w:r>
        <w:rPr>
          <w:rFonts w:eastAsia="楷体_GB2312"/>
          <w:color w:val="000000" w:themeColor="text1"/>
          <w:sz w:val="24"/>
          <w14:textFill>
            <w14:solidFill>
              <w14:schemeClr w14:val="tx1"/>
            </w14:solidFill>
          </w14:textFill>
        </w:rPr>
        <w:t>(a</w:t>
      </w:r>
      <w:r>
        <w:rPr>
          <w:rFonts w:eastAsia="楷体_GB2312"/>
          <w:sz w:val="24"/>
        </w:rPr>
        <w:t>)</w:t>
      </w:r>
      <w:r>
        <w:rPr>
          <w:rFonts w:eastAsia="楷体_GB2312"/>
          <w:color w:val="000000" w:themeColor="text1"/>
          <w:sz w:val="24"/>
          <w14:textFill>
            <w14:solidFill>
              <w14:schemeClr w14:val="tx1"/>
            </w14:solidFill>
          </w14:textFill>
        </w:rPr>
        <w:t>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color w:val="000000" w:themeColor="text1"/>
          <w:sz w:val="24"/>
          <w14:textFill>
            <w14:solidFill>
              <w14:schemeClr w14:val="tx1"/>
            </w14:solidFill>
          </w14:textFill>
        </w:rPr>
        <w:t>款</w:t>
      </w:r>
      <w:r>
        <w:rPr>
          <w:rFonts w:hint="eastAsia" w:eastAsia="楷体_GB2312"/>
          <w:sz w:val="24"/>
        </w:rPr>
        <w:t>第(1)项</w:t>
      </w:r>
      <w:r>
        <w:rPr>
          <w:rFonts w:eastAsia="楷体_GB2312"/>
          <w:color w:val="000000" w:themeColor="text1"/>
          <w:sz w:val="24"/>
          <w14:textFill>
            <w14:solidFill>
              <w14:schemeClr w14:val="tx1"/>
            </w14:solidFill>
          </w14:textFill>
        </w:rPr>
        <w:t>至第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color w:val="000000" w:themeColor="text1"/>
          <w:sz w:val="24"/>
          <w14:textFill>
            <w14:solidFill>
              <w14:schemeClr w14:val="tx1"/>
            </w14:solidFill>
          </w14:textFill>
        </w:rPr>
        <w:t>款</w:t>
      </w:r>
      <w:r>
        <w:rPr>
          <w:rFonts w:hint="eastAsia" w:eastAsia="楷体_GB2312"/>
          <w:sz w:val="24"/>
        </w:rPr>
        <w:t>第(3)项</w:t>
      </w:r>
      <w:r>
        <w:rPr>
          <w:rFonts w:eastAsia="楷体_GB2312"/>
          <w:color w:val="000000" w:themeColor="text1"/>
          <w:sz w:val="24"/>
          <w14:textFill>
            <w14:solidFill>
              <w14:schemeClr w14:val="tx1"/>
            </w14:solidFill>
          </w14:textFill>
        </w:rPr>
        <w:t>以及第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color w:val="000000" w:themeColor="text1"/>
          <w:sz w:val="24"/>
          <w14:textFill>
            <w14:solidFill>
              <w14:schemeClr w14:val="tx1"/>
            </w14:solidFill>
          </w14:textFill>
        </w:rPr>
        <w:t>款</w:t>
      </w:r>
      <w:r>
        <w:rPr>
          <w:rFonts w:hint="eastAsia" w:eastAsia="楷体_GB2312"/>
          <w:sz w:val="24"/>
        </w:rPr>
        <w:t>第(7)项</w:t>
      </w:r>
      <w:r>
        <w:rPr>
          <w:rFonts w:eastAsia="楷体_GB2312"/>
          <w:color w:val="000000" w:themeColor="text1"/>
          <w:sz w:val="24"/>
          <w14:textFill>
            <w14:solidFill>
              <w14:schemeClr w14:val="tx1"/>
            </w14:solidFill>
          </w14:textFill>
        </w:rPr>
        <w:t>】应支付的税费、服务报酬及费用</w:t>
      </w:r>
      <w:r>
        <w:rPr>
          <w:rFonts w:eastAsia="楷体_GB2312"/>
          <w:sz w:val="24"/>
        </w:rPr>
        <w:t>（其中“费用支出”以“优先支出上限”的金额进行计算）</w:t>
      </w:r>
      <w:r>
        <w:rPr>
          <w:rFonts w:eastAsia="楷体_GB2312"/>
          <w:color w:val="000000" w:themeColor="text1"/>
          <w:sz w:val="24"/>
          <w14:textFill>
            <w14:solidFill>
              <w14:schemeClr w14:val="tx1"/>
            </w14:solidFill>
          </w14:textFill>
        </w:rPr>
        <w:t>，(b</w:t>
      </w:r>
      <w:r>
        <w:rPr>
          <w:rFonts w:eastAsia="楷体_GB2312"/>
          <w:sz w:val="24"/>
        </w:rPr>
        <w:t>)</w:t>
      </w:r>
      <w:r>
        <w:rPr>
          <w:rFonts w:eastAsia="楷体_GB2312"/>
          <w:color w:val="000000" w:themeColor="text1"/>
          <w:sz w:val="24"/>
          <w14:textFill>
            <w14:solidFill>
              <w14:schemeClr w14:val="tx1"/>
            </w14:solidFill>
          </w14:textFill>
        </w:rPr>
        <w:t>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color w:val="000000" w:themeColor="text1"/>
          <w:sz w:val="24"/>
          <w14:textFill>
            <w14:solidFill>
              <w14:schemeClr w14:val="tx1"/>
            </w14:solidFill>
          </w14:textFill>
        </w:rPr>
        <w:t>款</w:t>
      </w:r>
      <w:r>
        <w:rPr>
          <w:rFonts w:hint="eastAsia" w:eastAsia="楷体_GB2312"/>
          <w:sz w:val="24"/>
        </w:rPr>
        <w:t>第(5)项</w:t>
      </w:r>
      <w:r>
        <w:rPr>
          <w:rFonts w:eastAsia="楷体_GB2312"/>
          <w:color w:val="000000" w:themeColor="text1"/>
          <w:sz w:val="24"/>
          <w14:textFill>
            <w14:solidFill>
              <w14:schemeClr w14:val="tx1"/>
            </w14:solidFill>
          </w14:textFill>
        </w:rPr>
        <w:t>及第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color w:val="000000" w:themeColor="text1"/>
          <w:sz w:val="24"/>
          <w14:textFill>
            <w14:solidFill>
              <w14:schemeClr w14:val="tx1"/>
            </w14:solidFill>
          </w14:textFill>
        </w:rPr>
        <w:t>款</w:t>
      </w:r>
      <w:r>
        <w:rPr>
          <w:rFonts w:hint="eastAsia" w:eastAsia="楷体_GB2312"/>
          <w:sz w:val="24"/>
        </w:rPr>
        <w:t>第(6)项</w:t>
      </w:r>
      <w:r>
        <w:rPr>
          <w:rFonts w:eastAsia="楷体_GB2312"/>
          <w:color w:val="000000" w:themeColor="text1"/>
          <w:sz w:val="24"/>
          <w14:textFill>
            <w14:solidFill>
              <w14:schemeClr w14:val="tx1"/>
            </w14:solidFill>
          </w14:textFill>
        </w:rPr>
        <w:t>】应支付的“优先级资产支持证券”的利息及(c</w:t>
      </w:r>
      <w:r>
        <w:rPr>
          <w:rFonts w:eastAsia="楷体_GB2312"/>
          <w:sz w:val="24"/>
        </w:rPr>
        <w:t>)以【】%/年为标准计算得出的当期应向“次级资产支持证券”支付的次级期间收益（仅限未发生“加速清偿事件”时）的，转入“收益账”相应资金，直至补足所缺金额。</w:t>
      </w:r>
    </w:p>
    <w:p w14:paraId="28978047">
      <w:pPr>
        <w:pStyle w:val="78"/>
        <w:ind w:firstLine="480"/>
        <w:rPr>
          <w:rFonts w:eastAsia="楷体_GB2312"/>
          <w:sz w:val="24"/>
        </w:rPr>
      </w:pPr>
    </w:p>
    <w:p w14:paraId="5720E7C0">
      <w:pPr>
        <w:pStyle w:val="78"/>
        <w:tabs>
          <w:tab w:val="left" w:pos="425"/>
          <w:tab w:val="left" w:pos="900"/>
          <w:tab w:val="left" w:pos="1571"/>
        </w:tabs>
        <w:spacing w:line="380" w:lineRule="atLeast"/>
        <w:ind w:left="2127" w:firstLine="0" w:firstLineChars="0"/>
        <w:rPr>
          <w:rFonts w:eastAsia="楷体_GB2312"/>
          <w:sz w:val="24"/>
        </w:rPr>
      </w:pPr>
      <w:r>
        <w:rPr>
          <w:rFonts w:eastAsia="楷体_GB2312"/>
          <w:sz w:val="24"/>
        </w:rPr>
        <w:t>为避免异议，如发生当个“信托利益核算日”“收益账”内的资金不足以根据本合同【第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第(5)项</w:t>
      </w:r>
      <w:r>
        <w:rPr>
          <w:rFonts w:eastAsia="楷体_GB2312"/>
          <w:sz w:val="24"/>
        </w:rPr>
        <w:t>、第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第(6)项</w:t>
      </w:r>
      <w:r>
        <w:rPr>
          <w:rFonts w:eastAsia="楷体_GB2312"/>
          <w:sz w:val="24"/>
        </w:rPr>
        <w:t>及第</w:t>
      </w:r>
      <w:r>
        <w:rPr>
          <w:rFonts w:eastAsia="楷体_GB2312"/>
          <w:sz w:val="24"/>
        </w:rPr>
        <w:fldChar w:fldCharType="begin"/>
      </w:r>
      <w:r>
        <w:rPr>
          <w:rFonts w:eastAsia="楷体_GB2312"/>
          <w:sz w:val="24"/>
        </w:rPr>
        <w:instrText xml:space="preserve"> REF _Ref59061308 \r \h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w:t>
      </w:r>
      <w:r>
        <w:rPr>
          <w:rFonts w:hint="eastAsia" w:eastAsia="楷体_GB2312"/>
          <w:sz w:val="24"/>
        </w:rPr>
        <w:t>第(9)项</w:t>
      </w:r>
      <w:r>
        <w:rPr>
          <w:rFonts w:eastAsia="楷体_GB2312"/>
          <w:sz w:val="24"/>
        </w:rPr>
        <w:t>】的约定足额支付应付款项，自“储备金账”中转出相应金额，导致当期“储备金账”的金额低于当期“流动性储备金限额”时，相应金额不需要补足。</w:t>
      </w:r>
    </w:p>
    <w:p w14:paraId="2467A74A">
      <w:pPr>
        <w:pStyle w:val="78"/>
        <w:ind w:firstLine="480"/>
        <w:rPr>
          <w:rFonts w:eastAsia="楷体_GB2312"/>
          <w:sz w:val="24"/>
        </w:rPr>
      </w:pPr>
    </w:p>
    <w:p w14:paraId="378982FF">
      <w:pPr>
        <w:pStyle w:val="78"/>
        <w:numPr>
          <w:ilvl w:val="0"/>
          <w:numId w:val="20"/>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最后，将剩余金额保留在“储备金账”。</w:t>
      </w:r>
    </w:p>
    <w:p w14:paraId="3173448F">
      <w:pPr>
        <w:pStyle w:val="78"/>
        <w:ind w:firstLine="480"/>
        <w:rPr>
          <w:rFonts w:eastAsia="楷体_GB2312"/>
          <w:sz w:val="24"/>
        </w:rPr>
      </w:pPr>
    </w:p>
    <w:p w14:paraId="2E19E636">
      <w:pPr>
        <w:numPr>
          <w:ilvl w:val="2"/>
          <w:numId w:val="4"/>
        </w:numPr>
        <w:spacing w:line="380" w:lineRule="atLeast"/>
        <w:ind w:left="1560" w:hanging="709"/>
        <w:rPr>
          <w:rFonts w:eastAsia="楷体_GB2312"/>
          <w:sz w:val="24"/>
        </w:rPr>
      </w:pPr>
      <w:bookmarkStart w:id="389" w:name="_Ref221969560"/>
      <w:r>
        <w:rPr>
          <w:rFonts w:eastAsia="楷体_GB2312"/>
          <w:sz w:val="24"/>
        </w:rPr>
        <w:t>如发生“违约</w:t>
      </w:r>
      <w:r>
        <w:rPr>
          <w:rFonts w:eastAsia="楷体_GB2312"/>
          <w:sz w:val="24"/>
          <w:lang w:val="en-GB"/>
        </w:rPr>
        <w:t>事件”或“信托”终止或“优先级资产支持证券”清偿完毕</w:t>
      </w:r>
      <w:r>
        <w:rPr>
          <w:rFonts w:eastAsia="楷体_GB2312"/>
          <w:sz w:val="24"/>
        </w:rPr>
        <w:t>，“流动性储备金限额”变更为零。在“违约事件”或“信托终止日”或“优先级资产支持证券”清偿完毕发生后（以最早发生者为准），“资金保管机构”根据“受托机构”“划款指令”将“储备金账”中的金额全部转入“收益账”。</w:t>
      </w:r>
      <w:bookmarkEnd w:id="389"/>
    </w:p>
    <w:p w14:paraId="32A16B4D">
      <w:pPr>
        <w:tabs>
          <w:tab w:val="left" w:pos="1571"/>
        </w:tabs>
        <w:spacing w:line="380" w:lineRule="atLeast"/>
        <w:ind w:left="1560"/>
        <w:rPr>
          <w:rFonts w:eastAsia="楷体_GB2312"/>
          <w:sz w:val="24"/>
        </w:rPr>
      </w:pPr>
    </w:p>
    <w:p w14:paraId="759E3FF6">
      <w:pPr>
        <w:numPr>
          <w:ilvl w:val="1"/>
          <w:numId w:val="4"/>
        </w:numPr>
        <w:spacing w:line="380" w:lineRule="atLeast"/>
        <w:outlineLvl w:val="1"/>
        <w:rPr>
          <w:rFonts w:eastAsia="楷体_GB2312"/>
          <w:b/>
          <w:sz w:val="24"/>
        </w:rPr>
      </w:pPr>
      <w:bookmarkStart w:id="390" w:name="_DV_M390"/>
      <w:bookmarkEnd w:id="390"/>
      <w:bookmarkStart w:id="391" w:name="_DV_M359"/>
      <w:bookmarkEnd w:id="391"/>
      <w:bookmarkStart w:id="392" w:name="_DV_M335"/>
      <w:bookmarkEnd w:id="392"/>
      <w:bookmarkStart w:id="393" w:name="_DV_M281"/>
      <w:bookmarkEnd w:id="393"/>
      <w:bookmarkStart w:id="394" w:name="_Toc146989600"/>
      <w:bookmarkEnd w:id="394"/>
      <w:bookmarkStart w:id="395" w:name="_Toc148384224"/>
      <w:bookmarkEnd w:id="395"/>
      <w:bookmarkStart w:id="396" w:name="_DV_M301"/>
      <w:bookmarkEnd w:id="396"/>
      <w:bookmarkStart w:id="397" w:name="_Toc148440828"/>
      <w:bookmarkEnd w:id="397"/>
      <w:bookmarkStart w:id="398" w:name="_Toc149386481"/>
      <w:bookmarkEnd w:id="398"/>
      <w:bookmarkStart w:id="399" w:name="_DV_M299"/>
      <w:bookmarkEnd w:id="399"/>
      <w:bookmarkStart w:id="400" w:name="_DV_M357"/>
      <w:bookmarkEnd w:id="400"/>
      <w:bookmarkStart w:id="401" w:name="_DV_M278"/>
      <w:bookmarkEnd w:id="401"/>
      <w:bookmarkStart w:id="402" w:name="_Toc148440814"/>
      <w:bookmarkEnd w:id="402"/>
      <w:bookmarkStart w:id="403" w:name="_DV_M391"/>
      <w:bookmarkEnd w:id="403"/>
      <w:bookmarkStart w:id="404" w:name="_Toc107769481"/>
      <w:bookmarkEnd w:id="404"/>
      <w:bookmarkStart w:id="405" w:name="_DV_M325"/>
      <w:bookmarkEnd w:id="405"/>
      <w:bookmarkStart w:id="406" w:name="_DV_M323"/>
      <w:bookmarkEnd w:id="406"/>
      <w:bookmarkStart w:id="407" w:name="_DV_M304"/>
      <w:bookmarkEnd w:id="407"/>
      <w:bookmarkStart w:id="408" w:name="_DV_M324"/>
      <w:bookmarkEnd w:id="408"/>
      <w:bookmarkStart w:id="409" w:name="_DV_M302"/>
      <w:bookmarkEnd w:id="409"/>
      <w:bookmarkStart w:id="410" w:name="_DV_M280"/>
      <w:bookmarkEnd w:id="410"/>
      <w:bookmarkStart w:id="411" w:name="_DV_M292"/>
      <w:bookmarkEnd w:id="411"/>
      <w:bookmarkStart w:id="412" w:name="_DV_M279"/>
      <w:bookmarkEnd w:id="412"/>
      <w:bookmarkStart w:id="413" w:name="_DV_M362"/>
      <w:bookmarkEnd w:id="413"/>
      <w:bookmarkStart w:id="414" w:name="_DV_M363"/>
      <w:bookmarkEnd w:id="414"/>
      <w:bookmarkStart w:id="415" w:name="_DV_M276"/>
      <w:bookmarkEnd w:id="415"/>
      <w:bookmarkStart w:id="416" w:name="_DV_M356"/>
      <w:bookmarkEnd w:id="416"/>
      <w:bookmarkStart w:id="417" w:name="_DV_M336"/>
      <w:bookmarkEnd w:id="417"/>
      <w:bookmarkStart w:id="418" w:name="_DV_M303"/>
      <w:bookmarkEnd w:id="418"/>
      <w:bookmarkStart w:id="419" w:name="_DV_M339"/>
      <w:bookmarkEnd w:id="419"/>
      <w:bookmarkStart w:id="420" w:name="_DV_M388"/>
      <w:bookmarkEnd w:id="420"/>
      <w:bookmarkStart w:id="421" w:name="_DV_M326"/>
      <w:bookmarkEnd w:id="421"/>
      <w:bookmarkStart w:id="422" w:name="_DV_M298"/>
      <w:bookmarkEnd w:id="422"/>
      <w:bookmarkStart w:id="423" w:name="_DV_M272"/>
      <w:bookmarkEnd w:id="423"/>
      <w:bookmarkStart w:id="424" w:name="_DV_M337"/>
      <w:bookmarkEnd w:id="424"/>
      <w:bookmarkStart w:id="425" w:name="_DV_M265"/>
      <w:bookmarkEnd w:id="425"/>
      <w:bookmarkStart w:id="426" w:name="_DV_M267"/>
      <w:bookmarkEnd w:id="426"/>
      <w:bookmarkStart w:id="427" w:name="_DV_M300"/>
      <w:bookmarkEnd w:id="427"/>
      <w:bookmarkStart w:id="428" w:name="_DV_M338"/>
      <w:bookmarkEnd w:id="428"/>
      <w:bookmarkStart w:id="429" w:name="_DV_M305"/>
      <w:bookmarkEnd w:id="429"/>
      <w:bookmarkStart w:id="430" w:name="_DV_M277"/>
      <w:bookmarkEnd w:id="430"/>
      <w:bookmarkStart w:id="431" w:name="_DV_M348"/>
      <w:bookmarkEnd w:id="431"/>
      <w:bookmarkStart w:id="432" w:name="_DV_M264"/>
      <w:bookmarkEnd w:id="432"/>
      <w:bookmarkStart w:id="433" w:name="_Toc148384241"/>
      <w:bookmarkEnd w:id="433"/>
      <w:bookmarkStart w:id="434" w:name="_DV_M275"/>
      <w:bookmarkEnd w:id="434"/>
      <w:bookmarkStart w:id="435" w:name="_DV_M306"/>
      <w:bookmarkEnd w:id="435"/>
      <w:bookmarkStart w:id="436" w:name="_DV_M389"/>
      <w:bookmarkEnd w:id="436"/>
      <w:bookmarkStart w:id="437" w:name="_DV_M297"/>
      <w:bookmarkEnd w:id="437"/>
      <w:bookmarkStart w:id="438" w:name="_DV_M358"/>
      <w:bookmarkEnd w:id="438"/>
      <w:bookmarkStart w:id="439" w:name="_DV_M273"/>
      <w:bookmarkEnd w:id="439"/>
      <w:bookmarkStart w:id="440" w:name="_Ref51239192"/>
      <w:r>
        <w:rPr>
          <w:rFonts w:eastAsia="楷体_GB2312"/>
          <w:b/>
          <w:sz w:val="24"/>
        </w:rPr>
        <w:t>信托终止后信托财产的分配</w:t>
      </w:r>
      <w:bookmarkEnd w:id="440"/>
    </w:p>
    <w:p w14:paraId="5308BC26">
      <w:pPr>
        <w:spacing w:line="360" w:lineRule="auto"/>
        <w:ind w:left="851"/>
        <w:rPr>
          <w:rFonts w:eastAsia="楷体_GB2312"/>
          <w:b/>
          <w:bCs/>
          <w:i/>
          <w:iCs/>
          <w:color w:val="FF0000"/>
          <w:kern w:val="2"/>
          <w:sz w:val="24"/>
          <w:szCs w:val="24"/>
        </w:rPr>
      </w:pPr>
      <w:r>
        <w:rPr>
          <w:rFonts w:eastAsia="楷体_GB2312"/>
          <w:b/>
          <w:bCs/>
          <w:i/>
          <w:iCs/>
          <w:color w:val="FF0000"/>
          <w:kern w:val="2"/>
          <w:sz w:val="24"/>
          <w:szCs w:val="24"/>
        </w:rPr>
        <w:t>【注：</w:t>
      </w:r>
      <w:r>
        <w:rPr>
          <w:rFonts w:eastAsia="楷体_GB2312"/>
          <w:b/>
          <w:bCs/>
          <w:i/>
          <w:iCs/>
          <w:color w:val="FF0000"/>
          <w:sz w:val="24"/>
        </w:rPr>
        <w:t>具体项目的现金流分配顺序待根据实际情况调整。</w:t>
      </w:r>
      <w:r>
        <w:rPr>
          <w:rFonts w:eastAsia="楷体_GB2312"/>
          <w:b/>
          <w:bCs/>
          <w:i/>
          <w:iCs/>
          <w:color w:val="FF0000"/>
          <w:kern w:val="2"/>
          <w:sz w:val="24"/>
          <w:szCs w:val="24"/>
        </w:rPr>
        <w:t>】</w:t>
      </w:r>
    </w:p>
    <w:p w14:paraId="1126DA58">
      <w:pPr>
        <w:spacing w:line="360" w:lineRule="auto"/>
        <w:ind w:left="851"/>
        <w:rPr>
          <w:rFonts w:eastAsia="楷体_GB2312"/>
          <w:b/>
          <w:bCs/>
          <w:i/>
          <w:iCs/>
          <w:color w:val="FF0000"/>
          <w:kern w:val="2"/>
          <w:sz w:val="24"/>
          <w:szCs w:val="24"/>
        </w:rPr>
      </w:pPr>
    </w:p>
    <w:p w14:paraId="1A9321F6">
      <w:pPr>
        <w:spacing w:line="380" w:lineRule="atLeast"/>
        <w:ind w:left="1080"/>
        <w:rPr>
          <w:rFonts w:eastAsia="楷体_GB2312"/>
          <w:sz w:val="24"/>
        </w:rPr>
      </w:pPr>
      <w:r>
        <w:rPr>
          <w:rFonts w:eastAsia="楷体_GB2312"/>
          <w:sz w:val="24"/>
        </w:rPr>
        <w:t>在“信托终止日”后，“受托人”应将清算所得的“回收款”以及其他“信托财产”按以下顺序进行分配：</w:t>
      </w:r>
    </w:p>
    <w:p w14:paraId="198A927E">
      <w:pPr>
        <w:spacing w:line="380" w:lineRule="atLeast"/>
        <w:ind w:left="1080"/>
        <w:rPr>
          <w:rFonts w:eastAsia="楷体_GB2312"/>
          <w:sz w:val="24"/>
        </w:rPr>
      </w:pPr>
    </w:p>
    <w:p w14:paraId="7422A11F">
      <w:pPr>
        <w:numPr>
          <w:ilvl w:val="2"/>
          <w:numId w:val="4"/>
        </w:numPr>
        <w:tabs>
          <w:tab w:val="left" w:pos="900"/>
        </w:tabs>
        <w:spacing w:line="380" w:lineRule="atLeast"/>
        <w:ind w:left="1620" w:hanging="769"/>
        <w:rPr>
          <w:rFonts w:eastAsia="楷体_GB2312"/>
          <w:sz w:val="24"/>
        </w:rPr>
      </w:pPr>
      <w:r>
        <w:rPr>
          <w:rFonts w:eastAsia="楷体_GB2312"/>
          <w:sz w:val="24"/>
        </w:rPr>
        <w:t>依据“中国法律”，由“受托人”缴纳的与“信托”相关的税收和规费（包括但不限于增值税及附加、所得税，“受托人”因受托“信托”业务而增加的业务规费）；</w:t>
      </w:r>
    </w:p>
    <w:p w14:paraId="6F8C08B0">
      <w:pPr>
        <w:spacing w:line="380" w:lineRule="atLeast"/>
        <w:ind w:left="1080"/>
        <w:rPr>
          <w:rFonts w:eastAsia="楷体_GB2312"/>
          <w:sz w:val="24"/>
        </w:rPr>
      </w:pPr>
    </w:p>
    <w:p w14:paraId="6A362D77">
      <w:pPr>
        <w:numPr>
          <w:ilvl w:val="2"/>
          <w:numId w:val="4"/>
        </w:numPr>
        <w:tabs>
          <w:tab w:val="left" w:pos="900"/>
        </w:tabs>
        <w:spacing w:line="380" w:lineRule="atLeast"/>
        <w:ind w:left="1620" w:hanging="769"/>
        <w:rPr>
          <w:rFonts w:eastAsia="楷体_GB2312"/>
          <w:sz w:val="24"/>
        </w:rPr>
      </w:pPr>
      <w:bookmarkStart w:id="441" w:name="_Ref51239275"/>
      <w:r>
        <w:rPr>
          <w:rFonts w:eastAsia="楷体_GB2312"/>
          <w:bCs/>
          <w:sz w:val="24"/>
        </w:rPr>
        <w:t>根据</w:t>
      </w:r>
      <w:r>
        <w:rPr>
          <w:rFonts w:eastAsia="楷体_GB2312"/>
          <w:sz w:val="24"/>
        </w:rPr>
        <w:t>“交易文件”清算“信托财产”所发生的费用；</w:t>
      </w:r>
      <w:bookmarkEnd w:id="441"/>
    </w:p>
    <w:p w14:paraId="3B7B0CDE">
      <w:pPr>
        <w:pStyle w:val="78"/>
        <w:ind w:firstLine="480"/>
        <w:rPr>
          <w:rFonts w:eastAsia="楷体_GB2312"/>
          <w:sz w:val="24"/>
        </w:rPr>
      </w:pPr>
    </w:p>
    <w:p w14:paraId="7AA963EE">
      <w:pPr>
        <w:numPr>
          <w:ilvl w:val="2"/>
          <w:numId w:val="4"/>
        </w:numPr>
        <w:tabs>
          <w:tab w:val="left" w:pos="900"/>
        </w:tabs>
        <w:spacing w:line="380" w:lineRule="atLeast"/>
        <w:ind w:left="1620" w:hanging="769"/>
        <w:rPr>
          <w:rFonts w:eastAsia="楷体_GB2312"/>
          <w:sz w:val="24"/>
        </w:rPr>
      </w:pPr>
      <w:r>
        <w:rPr>
          <w:rFonts w:eastAsia="楷体_GB2312"/>
          <w:sz w:val="24"/>
        </w:rPr>
        <w:t>同顺序支付各项“发行费用”（包括“受托机构”垫付的该等费用（如有））；</w:t>
      </w:r>
    </w:p>
    <w:p w14:paraId="4F6BA602">
      <w:pPr>
        <w:pStyle w:val="78"/>
        <w:ind w:firstLine="480"/>
        <w:rPr>
          <w:rFonts w:eastAsia="楷体_GB2312"/>
          <w:sz w:val="24"/>
        </w:rPr>
      </w:pPr>
    </w:p>
    <w:p w14:paraId="6FCC8100">
      <w:pPr>
        <w:numPr>
          <w:ilvl w:val="2"/>
          <w:numId w:val="4"/>
        </w:numPr>
        <w:tabs>
          <w:tab w:val="left" w:pos="900"/>
        </w:tabs>
        <w:spacing w:line="380" w:lineRule="atLeast"/>
        <w:ind w:left="1620" w:hanging="769"/>
        <w:rPr>
          <w:rFonts w:eastAsia="楷体_GB2312"/>
          <w:sz w:val="24"/>
        </w:rPr>
      </w:pPr>
      <w:r>
        <w:rPr>
          <w:rFonts w:eastAsia="楷体_GB2312"/>
          <w:sz w:val="24"/>
        </w:rPr>
        <w:t>同顺序支付</w:t>
      </w:r>
      <w:r>
        <w:rPr>
          <w:rFonts w:eastAsia="楷体_GB2312"/>
          <w:color w:val="000000"/>
          <w:sz w:val="24"/>
        </w:rPr>
        <w:t>(1)“支付代理机构”的报酬、(2)“受托人”的报酬、(3)“资金保管机构”的报酬、(4)“评级机构”提供跟踪评级服务的报酬、(5)“审计师”的报酬、(6)“后备贷款服务机构”（如有）的报酬、(7)“受托人”因“清仓回购”而聘请第三方专业机构</w:t>
      </w:r>
      <w:r>
        <w:rPr>
          <w:rFonts w:hint="eastAsia" w:eastAsia="楷体_GB2312"/>
          <w:color w:val="000000"/>
          <w:sz w:val="24"/>
        </w:rPr>
        <w:t>对</w:t>
      </w:r>
      <w:r>
        <w:rPr>
          <w:rFonts w:eastAsia="楷体_GB2312"/>
          <w:color w:val="000000"/>
          <w:sz w:val="24"/>
        </w:rPr>
        <w:t>剩余“资产池”进行评估所发生的费用</w:t>
      </w:r>
      <w:r>
        <w:rPr>
          <w:rFonts w:hint="eastAsia" w:eastAsia="楷体_GB2312"/>
          <w:color w:val="000000"/>
          <w:sz w:val="24"/>
        </w:rPr>
        <w:t>、</w:t>
      </w:r>
      <w:r>
        <w:rPr>
          <w:rFonts w:eastAsia="楷体_GB2312"/>
          <w:color w:val="000000"/>
          <w:sz w:val="24"/>
        </w:rPr>
        <w:t>(8)上述相关主体和“贷款服务机构”各自可报销“费用支出”（包括以往各期未付金额）、(</w:t>
      </w:r>
      <w:r>
        <w:rPr>
          <w:rFonts w:hint="eastAsia" w:eastAsia="楷体_GB2312"/>
          <w:color w:val="000000"/>
          <w:sz w:val="24"/>
        </w:rPr>
        <w:t>9</w:t>
      </w:r>
      <w:r>
        <w:rPr>
          <w:rFonts w:eastAsia="楷体_GB2312"/>
          <w:color w:val="000000"/>
          <w:sz w:val="24"/>
        </w:rPr>
        <w:t>)“受托人”按照本合同的约定以固有财产垫付的代为发送“权利完善通知”所发生的费用（如有）</w:t>
      </w:r>
      <w:r>
        <w:rPr>
          <w:rFonts w:eastAsia="楷体_GB2312"/>
          <w:sz w:val="24"/>
        </w:rPr>
        <w:t>；</w:t>
      </w:r>
    </w:p>
    <w:p w14:paraId="137DDAE2">
      <w:pPr>
        <w:spacing w:line="360" w:lineRule="auto"/>
        <w:ind w:left="1560"/>
        <w:rPr>
          <w:rFonts w:eastAsia="楷体_GB2312"/>
          <w:b/>
          <w:bCs/>
          <w:i/>
          <w:iCs/>
          <w:color w:val="FF0000"/>
          <w:kern w:val="2"/>
          <w:sz w:val="24"/>
          <w:szCs w:val="24"/>
        </w:rPr>
      </w:pPr>
      <w:r>
        <w:rPr>
          <w:rFonts w:eastAsia="楷体_GB2312"/>
          <w:b/>
          <w:bCs/>
          <w:i/>
          <w:iCs/>
          <w:color w:val="FF0000"/>
          <w:kern w:val="2"/>
          <w:sz w:val="24"/>
          <w:szCs w:val="24"/>
        </w:rPr>
        <w:t>【注：由信托财产承担的费用，可根据项目实际情况进行调整。】</w:t>
      </w:r>
    </w:p>
    <w:p w14:paraId="5E42C992">
      <w:pPr>
        <w:pStyle w:val="78"/>
        <w:ind w:firstLine="480"/>
        <w:rPr>
          <w:rFonts w:eastAsia="楷体_GB2312"/>
          <w:sz w:val="24"/>
        </w:rPr>
      </w:pPr>
    </w:p>
    <w:p w14:paraId="433BCC17">
      <w:pPr>
        <w:numPr>
          <w:ilvl w:val="2"/>
          <w:numId w:val="4"/>
        </w:numPr>
        <w:tabs>
          <w:tab w:val="left" w:pos="900"/>
        </w:tabs>
        <w:spacing w:line="380" w:lineRule="atLeast"/>
        <w:ind w:left="1620" w:hanging="769"/>
        <w:rPr>
          <w:rFonts w:eastAsia="楷体_GB2312"/>
          <w:sz w:val="24"/>
        </w:rPr>
      </w:pPr>
      <w:r>
        <w:rPr>
          <w:rFonts w:eastAsia="楷体_GB2312"/>
          <w:sz w:val="24"/>
        </w:rPr>
        <w:t>支付所有应付而未付的</w:t>
      </w:r>
      <w:r>
        <w:rPr>
          <w:rFonts w:eastAsia="楷体_GB2312"/>
          <w:color w:val="000000"/>
          <w:sz w:val="24"/>
        </w:rPr>
        <w:t>“</w:t>
      </w:r>
      <w:r>
        <w:rPr>
          <w:rFonts w:eastAsia="楷体_GB2312"/>
          <w:sz w:val="24"/>
        </w:rPr>
        <w:t>优先A档资产支持证券</w:t>
      </w:r>
      <w:r>
        <w:rPr>
          <w:rFonts w:eastAsia="楷体_GB2312"/>
          <w:color w:val="000000"/>
          <w:sz w:val="24"/>
        </w:rPr>
        <w:t>”</w:t>
      </w:r>
      <w:r>
        <w:rPr>
          <w:rFonts w:eastAsia="楷体_GB2312"/>
          <w:sz w:val="24"/>
        </w:rPr>
        <w:t>利息；</w:t>
      </w:r>
    </w:p>
    <w:p w14:paraId="68117754">
      <w:pPr>
        <w:pStyle w:val="78"/>
        <w:ind w:firstLine="480"/>
        <w:rPr>
          <w:rFonts w:eastAsia="楷体_GB2312"/>
          <w:sz w:val="24"/>
        </w:rPr>
      </w:pPr>
    </w:p>
    <w:p w14:paraId="011BBDB7">
      <w:pPr>
        <w:numPr>
          <w:ilvl w:val="2"/>
          <w:numId w:val="4"/>
        </w:numPr>
        <w:tabs>
          <w:tab w:val="left" w:pos="900"/>
        </w:tabs>
        <w:spacing w:line="380" w:lineRule="atLeast"/>
        <w:ind w:left="1620" w:hanging="769"/>
        <w:rPr>
          <w:rFonts w:eastAsia="楷体_GB2312"/>
          <w:sz w:val="24"/>
        </w:rPr>
      </w:pPr>
      <w:r>
        <w:rPr>
          <w:rFonts w:eastAsia="楷体_GB2312"/>
          <w:sz w:val="24"/>
        </w:rPr>
        <w:t>支付</w:t>
      </w:r>
      <w:r>
        <w:rPr>
          <w:rFonts w:eastAsia="楷体_GB2312"/>
          <w:color w:val="000000"/>
          <w:sz w:val="24"/>
        </w:rPr>
        <w:t>“</w:t>
      </w:r>
      <w:r>
        <w:rPr>
          <w:rFonts w:eastAsia="楷体_GB2312"/>
          <w:sz w:val="24"/>
        </w:rPr>
        <w:t>优先A档资产支持证券</w:t>
      </w:r>
      <w:r>
        <w:rPr>
          <w:rFonts w:eastAsia="楷体_GB2312"/>
          <w:color w:val="000000"/>
          <w:sz w:val="24"/>
        </w:rPr>
        <w:t>”</w:t>
      </w:r>
      <w:r>
        <w:rPr>
          <w:rFonts w:eastAsia="楷体_GB2312"/>
          <w:sz w:val="24"/>
        </w:rPr>
        <w:t>的</w:t>
      </w:r>
      <w:r>
        <w:rPr>
          <w:rFonts w:eastAsia="楷体_GB2312"/>
          <w:color w:val="000000"/>
          <w:sz w:val="24"/>
        </w:rPr>
        <w:t>本金</w:t>
      </w:r>
      <w:r>
        <w:rPr>
          <w:rFonts w:eastAsia="楷体_GB2312"/>
          <w:sz w:val="24"/>
        </w:rPr>
        <w:t>，直至</w:t>
      </w:r>
      <w:r>
        <w:rPr>
          <w:rFonts w:eastAsia="楷体_GB2312"/>
          <w:color w:val="000000"/>
          <w:sz w:val="24"/>
        </w:rPr>
        <w:t>“</w:t>
      </w:r>
      <w:r>
        <w:rPr>
          <w:rFonts w:eastAsia="楷体_GB2312"/>
          <w:sz w:val="24"/>
        </w:rPr>
        <w:t>优先A档资产支持证券</w:t>
      </w:r>
      <w:r>
        <w:rPr>
          <w:rFonts w:eastAsia="楷体_GB2312"/>
          <w:color w:val="000000"/>
          <w:sz w:val="24"/>
        </w:rPr>
        <w:t>”</w:t>
      </w:r>
      <w:r>
        <w:rPr>
          <w:rFonts w:eastAsia="楷体_GB2312"/>
          <w:sz w:val="24"/>
        </w:rPr>
        <w:t>的本金清偿完毕；</w:t>
      </w:r>
    </w:p>
    <w:p w14:paraId="2049D40C">
      <w:pPr>
        <w:pStyle w:val="78"/>
        <w:ind w:firstLine="480"/>
        <w:rPr>
          <w:rFonts w:eastAsia="楷体_GB2312"/>
          <w:sz w:val="24"/>
        </w:rPr>
      </w:pPr>
    </w:p>
    <w:p w14:paraId="4B589D89">
      <w:pPr>
        <w:numPr>
          <w:ilvl w:val="2"/>
          <w:numId w:val="4"/>
        </w:numPr>
        <w:tabs>
          <w:tab w:val="left" w:pos="900"/>
        </w:tabs>
        <w:spacing w:line="380" w:lineRule="atLeast"/>
        <w:ind w:left="1620" w:hanging="769"/>
        <w:rPr>
          <w:rFonts w:eastAsia="楷体_GB2312"/>
          <w:sz w:val="24"/>
        </w:rPr>
      </w:pPr>
      <w:r>
        <w:rPr>
          <w:rFonts w:eastAsia="楷体_GB2312"/>
          <w:sz w:val="24"/>
        </w:rPr>
        <w:t>支付所有应付而未付的</w:t>
      </w:r>
      <w:r>
        <w:rPr>
          <w:rFonts w:eastAsia="楷体_GB2312"/>
          <w:color w:val="000000"/>
          <w:sz w:val="24"/>
        </w:rPr>
        <w:t>“</w:t>
      </w:r>
      <w:r>
        <w:rPr>
          <w:rFonts w:eastAsia="楷体_GB2312"/>
          <w:sz w:val="24"/>
        </w:rPr>
        <w:t>优先B档资产支持证券</w:t>
      </w:r>
      <w:r>
        <w:rPr>
          <w:rFonts w:eastAsia="楷体_GB2312"/>
          <w:color w:val="000000"/>
          <w:sz w:val="24"/>
        </w:rPr>
        <w:t>”</w:t>
      </w:r>
      <w:r>
        <w:rPr>
          <w:rFonts w:eastAsia="楷体_GB2312"/>
          <w:sz w:val="24"/>
        </w:rPr>
        <w:t>的利息；</w:t>
      </w:r>
    </w:p>
    <w:p w14:paraId="21A0798F">
      <w:pPr>
        <w:pStyle w:val="78"/>
        <w:ind w:firstLine="480"/>
        <w:rPr>
          <w:rFonts w:eastAsia="楷体_GB2312"/>
          <w:sz w:val="24"/>
        </w:rPr>
      </w:pPr>
    </w:p>
    <w:p w14:paraId="24642A95">
      <w:pPr>
        <w:numPr>
          <w:ilvl w:val="2"/>
          <w:numId w:val="4"/>
        </w:numPr>
        <w:tabs>
          <w:tab w:val="left" w:pos="900"/>
        </w:tabs>
        <w:spacing w:line="380" w:lineRule="atLeast"/>
        <w:ind w:left="1620" w:hanging="769"/>
        <w:rPr>
          <w:rFonts w:eastAsia="楷体_GB2312"/>
          <w:sz w:val="24"/>
        </w:rPr>
      </w:pPr>
      <w:r>
        <w:rPr>
          <w:rFonts w:eastAsia="楷体_GB2312"/>
          <w:sz w:val="24"/>
        </w:rPr>
        <w:t>支付</w:t>
      </w:r>
      <w:r>
        <w:rPr>
          <w:rFonts w:eastAsia="楷体_GB2312"/>
          <w:color w:val="000000"/>
          <w:sz w:val="24"/>
        </w:rPr>
        <w:t>“</w:t>
      </w:r>
      <w:r>
        <w:rPr>
          <w:rFonts w:eastAsia="楷体_GB2312"/>
          <w:sz w:val="24"/>
        </w:rPr>
        <w:t>优先B档资产支持证券</w:t>
      </w:r>
      <w:r>
        <w:rPr>
          <w:rFonts w:eastAsia="楷体_GB2312"/>
          <w:color w:val="000000"/>
          <w:sz w:val="24"/>
        </w:rPr>
        <w:t>”</w:t>
      </w:r>
      <w:r>
        <w:rPr>
          <w:rFonts w:eastAsia="楷体_GB2312"/>
          <w:sz w:val="24"/>
        </w:rPr>
        <w:t>的本金，直至</w:t>
      </w:r>
      <w:r>
        <w:rPr>
          <w:rFonts w:eastAsia="楷体_GB2312"/>
          <w:color w:val="000000"/>
          <w:sz w:val="24"/>
        </w:rPr>
        <w:t>“</w:t>
      </w:r>
      <w:r>
        <w:rPr>
          <w:rFonts w:eastAsia="楷体_GB2312"/>
          <w:sz w:val="24"/>
        </w:rPr>
        <w:t>优先B档资产支持证券</w:t>
      </w:r>
      <w:r>
        <w:rPr>
          <w:rFonts w:eastAsia="楷体_GB2312"/>
          <w:color w:val="000000"/>
          <w:sz w:val="24"/>
        </w:rPr>
        <w:t>”</w:t>
      </w:r>
      <w:r>
        <w:rPr>
          <w:rFonts w:eastAsia="楷体_GB2312"/>
          <w:sz w:val="24"/>
        </w:rPr>
        <w:t>的本金清偿完毕；</w:t>
      </w:r>
    </w:p>
    <w:p w14:paraId="31C2627B">
      <w:pPr>
        <w:pStyle w:val="78"/>
        <w:ind w:firstLine="480"/>
        <w:rPr>
          <w:rFonts w:eastAsia="楷体_GB2312"/>
          <w:sz w:val="24"/>
        </w:rPr>
      </w:pPr>
    </w:p>
    <w:p w14:paraId="0948E60C">
      <w:pPr>
        <w:numPr>
          <w:ilvl w:val="2"/>
          <w:numId w:val="4"/>
        </w:numPr>
        <w:tabs>
          <w:tab w:val="left" w:pos="900"/>
        </w:tabs>
        <w:spacing w:line="380" w:lineRule="atLeast"/>
        <w:ind w:left="1620" w:hanging="769"/>
        <w:rPr>
          <w:rFonts w:eastAsia="楷体_GB2312"/>
          <w:sz w:val="24"/>
        </w:rPr>
      </w:pPr>
      <w:r>
        <w:rPr>
          <w:rFonts w:eastAsia="楷体_GB2312"/>
          <w:sz w:val="24"/>
        </w:rPr>
        <w:t>计提根据“《贷款服务机构收费函》”应收取的“贷款服务机构”“资产服务费”；</w:t>
      </w:r>
    </w:p>
    <w:p w14:paraId="4CAE1A46">
      <w:pPr>
        <w:pStyle w:val="78"/>
        <w:ind w:firstLine="480"/>
        <w:rPr>
          <w:rFonts w:eastAsia="楷体_GB2312"/>
          <w:sz w:val="24"/>
        </w:rPr>
      </w:pPr>
    </w:p>
    <w:p w14:paraId="4E32C6F2">
      <w:pPr>
        <w:numPr>
          <w:ilvl w:val="2"/>
          <w:numId w:val="4"/>
        </w:numPr>
        <w:tabs>
          <w:tab w:val="left" w:pos="900"/>
        </w:tabs>
        <w:spacing w:line="380" w:lineRule="atLeast"/>
        <w:ind w:left="1620" w:hanging="769"/>
        <w:rPr>
          <w:rFonts w:eastAsia="楷体_GB2312"/>
          <w:sz w:val="24"/>
        </w:rPr>
      </w:pPr>
      <w:r>
        <w:rPr>
          <w:rFonts w:eastAsia="楷体_GB2312"/>
          <w:sz w:val="24"/>
        </w:rPr>
        <w:t>支付</w:t>
      </w:r>
      <w:r>
        <w:rPr>
          <w:rFonts w:eastAsia="楷体_GB2312"/>
          <w:color w:val="000000"/>
          <w:sz w:val="24"/>
        </w:rPr>
        <w:t>“</w:t>
      </w:r>
      <w:r>
        <w:rPr>
          <w:rFonts w:eastAsia="楷体_GB2312"/>
          <w:sz w:val="24"/>
        </w:rPr>
        <w:t>次级资产支持证券</w:t>
      </w:r>
      <w:r>
        <w:rPr>
          <w:rFonts w:eastAsia="楷体_GB2312"/>
          <w:color w:val="000000"/>
          <w:sz w:val="24"/>
        </w:rPr>
        <w:t>”</w:t>
      </w:r>
      <w:r>
        <w:rPr>
          <w:rFonts w:eastAsia="楷体_GB2312"/>
          <w:sz w:val="24"/>
        </w:rPr>
        <w:t>的本金，直至</w:t>
      </w:r>
      <w:r>
        <w:rPr>
          <w:rFonts w:eastAsia="楷体_GB2312"/>
          <w:color w:val="000000"/>
          <w:sz w:val="24"/>
        </w:rPr>
        <w:t>“</w:t>
      </w:r>
      <w:r>
        <w:rPr>
          <w:rFonts w:eastAsia="楷体_GB2312"/>
          <w:sz w:val="24"/>
        </w:rPr>
        <w:t>次级资产支持证券</w:t>
      </w:r>
      <w:r>
        <w:rPr>
          <w:rFonts w:eastAsia="楷体_GB2312"/>
          <w:color w:val="000000"/>
          <w:sz w:val="24"/>
        </w:rPr>
        <w:t>”</w:t>
      </w:r>
      <w:r>
        <w:rPr>
          <w:rFonts w:eastAsia="楷体_GB2312"/>
          <w:sz w:val="24"/>
        </w:rPr>
        <w:t>的本金清偿完毕；</w:t>
      </w:r>
    </w:p>
    <w:p w14:paraId="0D0711C0">
      <w:pPr>
        <w:pStyle w:val="78"/>
        <w:ind w:firstLine="480"/>
        <w:rPr>
          <w:rFonts w:eastAsia="楷体_GB2312"/>
          <w:sz w:val="24"/>
        </w:rPr>
      </w:pPr>
    </w:p>
    <w:p w14:paraId="6340B270">
      <w:pPr>
        <w:numPr>
          <w:ilvl w:val="2"/>
          <w:numId w:val="4"/>
        </w:numPr>
        <w:tabs>
          <w:tab w:val="left" w:pos="900"/>
        </w:tabs>
        <w:spacing w:line="380" w:lineRule="atLeast"/>
        <w:ind w:left="1620" w:hanging="769"/>
        <w:rPr>
          <w:rFonts w:eastAsia="楷体_GB2312"/>
          <w:sz w:val="24"/>
        </w:rPr>
      </w:pPr>
      <w:r>
        <w:rPr>
          <w:rFonts w:eastAsia="楷体_GB2312"/>
          <w:sz w:val="24"/>
        </w:rPr>
        <w:t>剩余全部作为</w:t>
      </w:r>
      <w:r>
        <w:rPr>
          <w:rFonts w:eastAsia="楷体_GB2312"/>
          <w:color w:val="000000"/>
          <w:sz w:val="24"/>
        </w:rPr>
        <w:t>“</w:t>
      </w:r>
      <w:r>
        <w:rPr>
          <w:rFonts w:eastAsia="楷体_GB2312"/>
          <w:sz w:val="24"/>
        </w:rPr>
        <w:t>次级资产支持证券</w:t>
      </w:r>
      <w:r>
        <w:rPr>
          <w:rFonts w:eastAsia="楷体_GB2312"/>
          <w:color w:val="000000"/>
          <w:sz w:val="24"/>
        </w:rPr>
        <w:t>”</w:t>
      </w:r>
      <w:r>
        <w:rPr>
          <w:rFonts w:eastAsia="楷体_GB2312"/>
          <w:sz w:val="24"/>
        </w:rPr>
        <w:t>的收益支付给“次级资产支持证券持有人”。</w:t>
      </w:r>
    </w:p>
    <w:p w14:paraId="440A5BAA">
      <w:pPr>
        <w:spacing w:line="360" w:lineRule="auto"/>
        <w:ind w:left="1418"/>
        <w:rPr>
          <w:rFonts w:eastAsia="楷体_GB2312"/>
          <w:b/>
          <w:bCs/>
          <w:i/>
          <w:iCs/>
          <w:color w:val="FF0000"/>
          <w:kern w:val="2"/>
          <w:sz w:val="24"/>
          <w:szCs w:val="24"/>
        </w:rPr>
      </w:pPr>
      <w:r>
        <w:rPr>
          <w:rFonts w:eastAsia="楷体_GB2312"/>
          <w:b/>
          <w:bCs/>
          <w:i/>
          <w:iCs/>
          <w:color w:val="FF0000"/>
          <w:kern w:val="2"/>
          <w:sz w:val="24"/>
          <w:szCs w:val="24"/>
        </w:rPr>
        <w:t>【注：收益分配机制可根据项目实际情况进行调整。】</w:t>
      </w:r>
    </w:p>
    <w:p w14:paraId="5C6B4E97">
      <w:pPr>
        <w:spacing w:line="380" w:lineRule="atLeast"/>
        <w:rPr>
          <w:rFonts w:eastAsia="楷体_GB2312"/>
          <w:sz w:val="24"/>
        </w:rPr>
      </w:pPr>
      <w:bookmarkStart w:id="442" w:name="_Toc51258958"/>
      <w:bookmarkEnd w:id="442"/>
    </w:p>
    <w:p w14:paraId="1BB2DBC9">
      <w:pPr>
        <w:numPr>
          <w:ilvl w:val="0"/>
          <w:numId w:val="4"/>
        </w:numPr>
        <w:spacing w:line="380" w:lineRule="atLeast"/>
        <w:outlineLvl w:val="0"/>
        <w:rPr>
          <w:rFonts w:eastAsia="楷体_GB2312"/>
          <w:b/>
          <w:bCs/>
          <w:sz w:val="24"/>
        </w:rPr>
      </w:pPr>
      <w:bookmarkStart w:id="443" w:name="_Toc110370665"/>
      <w:bookmarkEnd w:id="443"/>
      <w:bookmarkStart w:id="444" w:name="_Toc110370867"/>
      <w:bookmarkEnd w:id="444"/>
      <w:bookmarkStart w:id="445" w:name="_Toc110153443"/>
      <w:bookmarkStart w:id="446" w:name="_Toc111281800"/>
      <w:bookmarkStart w:id="447" w:name="_Toc373951552"/>
      <w:bookmarkStart w:id="448" w:name="_Toc51277221"/>
      <w:bookmarkStart w:id="449" w:name="_Toc31744"/>
      <w:r>
        <w:rPr>
          <w:rFonts w:eastAsia="楷体_GB2312"/>
          <w:b/>
          <w:bCs/>
          <w:sz w:val="24"/>
        </w:rPr>
        <w:t>信</w:t>
      </w:r>
      <w:bookmarkStart w:id="450" w:name="_Toc92612931"/>
      <w:r>
        <w:rPr>
          <w:rFonts w:eastAsia="楷体_GB2312"/>
          <w:b/>
          <w:bCs/>
          <w:sz w:val="24"/>
        </w:rPr>
        <w:t>托财产的</w:t>
      </w:r>
      <w:r>
        <w:rPr>
          <w:rFonts w:eastAsia="楷体_GB2312"/>
          <w:b/>
          <w:sz w:val="24"/>
        </w:rPr>
        <w:t>管理</w:t>
      </w:r>
      <w:bookmarkEnd w:id="445"/>
      <w:bookmarkEnd w:id="446"/>
      <w:bookmarkEnd w:id="447"/>
      <w:r>
        <w:rPr>
          <w:rFonts w:eastAsia="楷体_GB2312"/>
          <w:b/>
          <w:sz w:val="24"/>
        </w:rPr>
        <w:t>方法</w:t>
      </w:r>
      <w:bookmarkEnd w:id="448"/>
      <w:bookmarkEnd w:id="449"/>
    </w:p>
    <w:bookmarkEnd w:id="450"/>
    <w:p w14:paraId="37A67B32">
      <w:pPr>
        <w:spacing w:line="380" w:lineRule="atLeast"/>
        <w:ind w:left="425"/>
        <w:rPr>
          <w:rFonts w:eastAsia="楷体_GB2312"/>
          <w:b/>
          <w:sz w:val="24"/>
        </w:rPr>
      </w:pPr>
      <w:bookmarkStart w:id="451" w:name="_Toc111281801"/>
      <w:bookmarkStart w:id="452" w:name="_Toc110153444"/>
    </w:p>
    <w:p w14:paraId="08D10A74">
      <w:pPr>
        <w:numPr>
          <w:ilvl w:val="1"/>
          <w:numId w:val="4"/>
        </w:numPr>
        <w:spacing w:line="380" w:lineRule="atLeast"/>
        <w:outlineLvl w:val="1"/>
        <w:rPr>
          <w:rFonts w:eastAsia="楷体_GB2312"/>
          <w:b/>
          <w:sz w:val="24"/>
        </w:rPr>
      </w:pPr>
      <w:r>
        <w:rPr>
          <w:rFonts w:eastAsia="楷体_GB2312"/>
          <w:b/>
          <w:sz w:val="24"/>
        </w:rPr>
        <w:t>受</w:t>
      </w:r>
      <w:bookmarkStart w:id="453" w:name="_Toc92612932"/>
      <w:r>
        <w:rPr>
          <w:rFonts w:eastAsia="楷体_GB2312"/>
          <w:b/>
          <w:sz w:val="24"/>
        </w:rPr>
        <w:t>托人管理职责的</w:t>
      </w:r>
      <w:bookmarkEnd w:id="453"/>
      <w:r>
        <w:rPr>
          <w:rFonts w:eastAsia="楷体_GB2312"/>
          <w:b/>
          <w:sz w:val="24"/>
        </w:rPr>
        <w:t>一般原则</w:t>
      </w:r>
      <w:bookmarkEnd w:id="451"/>
      <w:bookmarkEnd w:id="452"/>
    </w:p>
    <w:p w14:paraId="568ABD16">
      <w:pPr>
        <w:spacing w:line="380" w:lineRule="atLeast"/>
        <w:ind w:left="2340" w:hanging="1064"/>
        <w:rPr>
          <w:rFonts w:eastAsia="楷体_GB2312"/>
          <w:b/>
          <w:sz w:val="24"/>
        </w:rPr>
      </w:pPr>
    </w:p>
    <w:p w14:paraId="2384D0A2">
      <w:pPr>
        <w:numPr>
          <w:ilvl w:val="2"/>
          <w:numId w:val="4"/>
        </w:numPr>
        <w:spacing w:line="380" w:lineRule="atLeast"/>
        <w:ind w:left="1560" w:hanging="709"/>
        <w:rPr>
          <w:rFonts w:eastAsia="楷体_GB2312"/>
          <w:sz w:val="24"/>
        </w:rPr>
      </w:pPr>
      <w:r>
        <w:rPr>
          <w:rFonts w:eastAsia="楷体_GB2312"/>
          <w:sz w:val="24"/>
        </w:rPr>
        <w:t>将“信托财产”与其固有财产分别管理、分别记账，并与其管理的其他信托财产分别管理、分别记账。</w:t>
      </w:r>
    </w:p>
    <w:p w14:paraId="39448FF3">
      <w:pPr>
        <w:tabs>
          <w:tab w:val="left" w:pos="1571"/>
        </w:tabs>
        <w:spacing w:line="380" w:lineRule="atLeast"/>
        <w:ind w:left="1620" w:hanging="769"/>
        <w:rPr>
          <w:rFonts w:eastAsia="楷体_GB2312"/>
          <w:sz w:val="24"/>
        </w:rPr>
      </w:pPr>
    </w:p>
    <w:p w14:paraId="1653207E">
      <w:pPr>
        <w:numPr>
          <w:ilvl w:val="2"/>
          <w:numId w:val="4"/>
        </w:numPr>
        <w:spacing w:line="380" w:lineRule="atLeast"/>
        <w:ind w:left="1560" w:hanging="709"/>
        <w:rPr>
          <w:rFonts w:eastAsia="楷体_GB2312"/>
          <w:sz w:val="24"/>
        </w:rPr>
      </w:pPr>
      <w:r>
        <w:rPr>
          <w:rFonts w:eastAsia="楷体_GB2312"/>
          <w:sz w:val="24"/>
        </w:rPr>
        <w:t>按本合同约定的方式，管理、处分“信托财产”，以实现“受益人”利益的最大化。</w:t>
      </w:r>
    </w:p>
    <w:p w14:paraId="0E1232A1">
      <w:pPr>
        <w:spacing w:line="380" w:lineRule="atLeast"/>
        <w:ind w:left="1080"/>
        <w:rPr>
          <w:rFonts w:eastAsia="楷体_GB2312"/>
          <w:sz w:val="24"/>
        </w:rPr>
      </w:pPr>
    </w:p>
    <w:p w14:paraId="6B2D0E72">
      <w:pPr>
        <w:numPr>
          <w:ilvl w:val="2"/>
          <w:numId w:val="4"/>
        </w:numPr>
        <w:spacing w:line="380" w:lineRule="atLeast"/>
        <w:ind w:left="1560" w:hanging="709"/>
        <w:rPr>
          <w:rFonts w:eastAsia="楷体_GB2312"/>
          <w:sz w:val="24"/>
        </w:rPr>
      </w:pPr>
      <w:r>
        <w:rPr>
          <w:rFonts w:eastAsia="楷体_GB2312"/>
          <w:sz w:val="24"/>
        </w:rPr>
        <w:t>按本合同的约定，选择并委托“贷款服务机构”代为管理、运用、处分“信托财产”，并对其管理、运用、处分行为进行监督。</w:t>
      </w:r>
    </w:p>
    <w:p w14:paraId="3A9021F4">
      <w:pPr>
        <w:spacing w:line="380" w:lineRule="atLeast"/>
        <w:ind w:left="1080"/>
        <w:rPr>
          <w:rFonts w:eastAsia="楷体_GB2312"/>
          <w:sz w:val="24"/>
        </w:rPr>
      </w:pPr>
    </w:p>
    <w:p w14:paraId="46734EE7">
      <w:pPr>
        <w:numPr>
          <w:ilvl w:val="2"/>
          <w:numId w:val="4"/>
        </w:numPr>
        <w:spacing w:line="380" w:lineRule="atLeast"/>
        <w:ind w:left="1560" w:hanging="709"/>
        <w:rPr>
          <w:rFonts w:eastAsia="楷体_GB2312"/>
          <w:sz w:val="24"/>
        </w:rPr>
      </w:pPr>
      <w:r>
        <w:rPr>
          <w:rFonts w:eastAsia="楷体_GB2312"/>
          <w:sz w:val="24"/>
        </w:rPr>
        <w:t>按本合同的约定，选择并委托“资金保管机构”对“信托账户”内资金进行保管，并对运用、支付行为进行监督。</w:t>
      </w:r>
    </w:p>
    <w:p w14:paraId="50A6D5C6">
      <w:pPr>
        <w:spacing w:line="380" w:lineRule="atLeast"/>
        <w:ind w:left="1080"/>
        <w:rPr>
          <w:rFonts w:eastAsia="楷体_GB2312"/>
          <w:sz w:val="24"/>
        </w:rPr>
      </w:pPr>
    </w:p>
    <w:p w14:paraId="2B63EF50">
      <w:pPr>
        <w:numPr>
          <w:ilvl w:val="2"/>
          <w:numId w:val="4"/>
        </w:numPr>
        <w:spacing w:line="380" w:lineRule="atLeast"/>
        <w:ind w:left="1560" w:hanging="709"/>
        <w:rPr>
          <w:rFonts w:eastAsia="楷体_GB2312"/>
          <w:sz w:val="24"/>
        </w:rPr>
      </w:pPr>
      <w:r>
        <w:rPr>
          <w:rFonts w:eastAsia="楷体_GB2312"/>
          <w:sz w:val="24"/>
        </w:rPr>
        <w:t>按本合同约定向“受益人”支付“信托利益”。</w:t>
      </w:r>
    </w:p>
    <w:p w14:paraId="33E0967F">
      <w:pPr>
        <w:spacing w:line="380" w:lineRule="atLeast"/>
        <w:ind w:left="1080"/>
        <w:rPr>
          <w:rFonts w:eastAsia="楷体_GB2312"/>
          <w:sz w:val="24"/>
        </w:rPr>
      </w:pPr>
    </w:p>
    <w:p w14:paraId="49FA5616">
      <w:pPr>
        <w:numPr>
          <w:ilvl w:val="2"/>
          <w:numId w:val="4"/>
        </w:numPr>
        <w:spacing w:line="380" w:lineRule="atLeast"/>
        <w:ind w:left="1560" w:hanging="709"/>
        <w:rPr>
          <w:rFonts w:eastAsia="楷体_GB2312"/>
          <w:sz w:val="24"/>
        </w:rPr>
      </w:pPr>
      <w:r>
        <w:rPr>
          <w:rFonts w:eastAsia="楷体_GB2312"/>
          <w:sz w:val="24"/>
        </w:rPr>
        <w:t>按本合同约定和相关“中国法律”规定，向“委托人”或“受益人”进行信息披露。</w:t>
      </w:r>
    </w:p>
    <w:p w14:paraId="23C55C91">
      <w:pPr>
        <w:spacing w:line="380" w:lineRule="atLeast"/>
        <w:ind w:left="1080"/>
        <w:rPr>
          <w:rFonts w:eastAsia="楷体_GB2312"/>
          <w:sz w:val="24"/>
        </w:rPr>
      </w:pPr>
    </w:p>
    <w:p w14:paraId="657CE098">
      <w:pPr>
        <w:numPr>
          <w:ilvl w:val="2"/>
          <w:numId w:val="4"/>
        </w:numPr>
        <w:spacing w:line="380" w:lineRule="atLeast"/>
        <w:ind w:left="1560" w:hanging="709"/>
        <w:rPr>
          <w:rFonts w:eastAsia="楷体_GB2312"/>
          <w:sz w:val="24"/>
        </w:rPr>
      </w:pPr>
      <w:r>
        <w:rPr>
          <w:rFonts w:eastAsia="楷体_GB2312"/>
          <w:sz w:val="24"/>
        </w:rPr>
        <w:t>履行“中国法律”规定的和本合同约定的其他管理职责。</w:t>
      </w:r>
    </w:p>
    <w:bookmarkEnd w:id="345"/>
    <w:p w14:paraId="02C110B9">
      <w:pPr>
        <w:spacing w:line="380" w:lineRule="atLeast"/>
        <w:ind w:left="1080"/>
        <w:rPr>
          <w:rFonts w:eastAsia="楷体_GB2312"/>
          <w:b/>
          <w:sz w:val="24"/>
        </w:rPr>
      </w:pPr>
    </w:p>
    <w:p w14:paraId="43AB3318">
      <w:pPr>
        <w:numPr>
          <w:ilvl w:val="1"/>
          <w:numId w:val="4"/>
        </w:numPr>
        <w:spacing w:line="380" w:lineRule="atLeast"/>
        <w:outlineLvl w:val="1"/>
        <w:rPr>
          <w:rFonts w:eastAsia="楷体_GB2312"/>
          <w:b/>
          <w:sz w:val="24"/>
        </w:rPr>
      </w:pPr>
      <w:bookmarkStart w:id="454" w:name="_Toc111281802"/>
      <w:r>
        <w:rPr>
          <w:rFonts w:eastAsia="楷体_GB2312"/>
          <w:b/>
          <w:sz w:val="24"/>
        </w:rPr>
        <w:t>接受受托机构委托代理信托事务的机构的职责</w:t>
      </w:r>
      <w:bookmarkEnd w:id="454"/>
    </w:p>
    <w:p w14:paraId="19D3E7CE">
      <w:pPr>
        <w:pStyle w:val="78"/>
        <w:tabs>
          <w:tab w:val="left" w:pos="1985"/>
          <w:tab w:val="left" w:pos="2073"/>
        </w:tabs>
        <w:spacing w:line="380" w:lineRule="exact"/>
        <w:ind w:left="840" w:firstLine="0" w:firstLineChars="0"/>
        <w:rPr>
          <w:rFonts w:eastAsia="楷体_GB2312"/>
          <w:b/>
          <w:bCs/>
          <w:i/>
          <w:iCs/>
          <w:color w:val="FF0000"/>
          <w:sz w:val="24"/>
        </w:rPr>
      </w:pPr>
      <w:r>
        <w:rPr>
          <w:rFonts w:hint="eastAsia" w:eastAsia="楷体_GB2312"/>
          <w:b/>
          <w:bCs/>
          <w:i/>
          <w:iCs/>
          <w:color w:val="FF0000"/>
          <w:sz w:val="24"/>
        </w:rPr>
        <w:t>【注：接受受托机构委托代理信托事务的机构的职责可以结合项目实际情况补充或调整。】</w:t>
      </w:r>
    </w:p>
    <w:p w14:paraId="71708A46">
      <w:pPr>
        <w:spacing w:line="380" w:lineRule="atLeast"/>
        <w:rPr>
          <w:rFonts w:eastAsia="楷体_GB2312"/>
          <w:sz w:val="24"/>
        </w:rPr>
      </w:pPr>
    </w:p>
    <w:p w14:paraId="0575815D">
      <w:pPr>
        <w:numPr>
          <w:ilvl w:val="2"/>
          <w:numId w:val="4"/>
        </w:numPr>
        <w:tabs>
          <w:tab w:val="left" w:pos="900"/>
        </w:tabs>
        <w:spacing w:line="380" w:lineRule="atLeast"/>
        <w:ind w:left="1620" w:hanging="769"/>
        <w:rPr>
          <w:rFonts w:eastAsia="楷体_GB2312"/>
          <w:b/>
          <w:sz w:val="24"/>
        </w:rPr>
      </w:pPr>
      <w:r>
        <w:rPr>
          <w:rFonts w:eastAsia="楷体_GB2312"/>
          <w:b/>
          <w:sz w:val="24"/>
        </w:rPr>
        <w:t>贷款服务</w:t>
      </w:r>
    </w:p>
    <w:p w14:paraId="07F08FDA">
      <w:pPr>
        <w:spacing w:line="380" w:lineRule="atLeast"/>
        <w:ind w:left="1560"/>
        <w:rPr>
          <w:rFonts w:eastAsia="楷体_GB2312"/>
          <w:b/>
          <w:sz w:val="24"/>
        </w:rPr>
      </w:pPr>
    </w:p>
    <w:p w14:paraId="32CB411D">
      <w:pPr>
        <w:pStyle w:val="78"/>
        <w:numPr>
          <w:ilvl w:val="0"/>
          <w:numId w:val="21"/>
        </w:numPr>
        <w:tabs>
          <w:tab w:val="left" w:pos="425"/>
          <w:tab w:val="left" w:pos="900"/>
          <w:tab w:val="left" w:pos="1571"/>
        </w:tabs>
        <w:spacing w:line="380" w:lineRule="atLeast"/>
        <w:ind w:left="2127" w:hanging="426" w:firstLineChars="0"/>
        <w:rPr>
          <w:rFonts w:eastAsia="楷体_GB2312"/>
          <w:b/>
          <w:sz w:val="24"/>
        </w:rPr>
      </w:pPr>
      <w:r>
        <w:rPr>
          <w:rFonts w:eastAsia="楷体_GB2312"/>
          <w:b/>
          <w:sz w:val="24"/>
        </w:rPr>
        <w:t>委托贷款服务机构及其职责概述</w:t>
      </w:r>
    </w:p>
    <w:p w14:paraId="3A8DC1BD">
      <w:pPr>
        <w:spacing w:line="380" w:lineRule="atLeast"/>
        <w:rPr>
          <w:rFonts w:eastAsia="楷体_GB2312"/>
          <w:sz w:val="24"/>
        </w:rPr>
      </w:pPr>
    </w:p>
    <w:p w14:paraId="6B4E3F15">
      <w:pPr>
        <w:tabs>
          <w:tab w:val="left" w:pos="1985"/>
          <w:tab w:val="left" w:pos="2073"/>
        </w:tabs>
        <w:spacing w:line="380" w:lineRule="exact"/>
        <w:ind w:left="1701"/>
        <w:rPr>
          <w:rFonts w:eastAsia="楷体_GB2312"/>
          <w:sz w:val="24"/>
        </w:rPr>
      </w:pPr>
      <w:r>
        <w:rPr>
          <w:rFonts w:eastAsia="楷体_GB2312"/>
          <w:sz w:val="24"/>
        </w:rPr>
        <w:t>为有利于实现“信托”目的，“受托人”有权选择并委托“贷款服务机构”，代为管理、处分“信托”项下的“信贷资产”。“信托”设立时，“受托人”委托“【</w:t>
      </w:r>
      <w:r>
        <w:rPr>
          <w:rFonts w:hint="eastAsia" w:eastAsia="楷体_GB2312"/>
          <w:sz w:val="24"/>
        </w:rPr>
        <w:t>贷款服务机构全称</w:t>
      </w:r>
      <w:r>
        <w:rPr>
          <w:rFonts w:eastAsia="楷体_GB2312"/>
          <w:sz w:val="24"/>
        </w:rPr>
        <w:t>】”担任“信贷资产”的“贷款服务机构”。</w:t>
      </w:r>
      <w:r>
        <w:rPr>
          <w:rFonts w:eastAsia="楷体_GB2312"/>
          <w:color w:val="000000"/>
          <w:sz w:val="24"/>
        </w:rPr>
        <w:t>“信贷资产”</w:t>
      </w:r>
      <w:r>
        <w:rPr>
          <w:rFonts w:eastAsia="楷体_GB2312"/>
          <w:sz w:val="24"/>
        </w:rPr>
        <w:t>管理的具体事宜，由“受托人”与“贷款服务机构”另行签署“《服务合同》”予以约定。“贷款服务机构”根据“《服务合同》”的约定履行如下职责：“贷款”事项的管理、收取“贷款”本息、“违约贷款”处置、文件保管、提供“贷款服务机构报告”等与“信贷资产”管理有关的其他职责（包括“《服务合同》”和“《借款合同》”、“《担保合同》”（如有）另行约定的“贷款服务机构”的职责）。</w:t>
      </w:r>
    </w:p>
    <w:p w14:paraId="33D6F726">
      <w:pPr>
        <w:spacing w:line="380" w:lineRule="atLeast"/>
        <w:rPr>
          <w:rFonts w:eastAsia="楷体_GB2312"/>
          <w:sz w:val="24"/>
        </w:rPr>
      </w:pPr>
    </w:p>
    <w:p w14:paraId="58D443A5">
      <w:pPr>
        <w:pStyle w:val="78"/>
        <w:numPr>
          <w:ilvl w:val="0"/>
          <w:numId w:val="21"/>
        </w:numPr>
        <w:tabs>
          <w:tab w:val="left" w:pos="425"/>
          <w:tab w:val="left" w:pos="900"/>
          <w:tab w:val="left" w:pos="1571"/>
        </w:tabs>
        <w:spacing w:line="380" w:lineRule="atLeast"/>
        <w:ind w:left="2127" w:hanging="426" w:firstLineChars="0"/>
        <w:rPr>
          <w:rFonts w:eastAsia="楷体_GB2312"/>
          <w:b/>
          <w:color w:val="000000"/>
          <w:sz w:val="24"/>
        </w:rPr>
      </w:pPr>
      <w:r>
        <w:rPr>
          <w:rFonts w:eastAsia="楷体_GB2312"/>
          <w:b/>
          <w:sz w:val="24"/>
        </w:rPr>
        <w:t>贷款服务</w:t>
      </w:r>
      <w:r>
        <w:rPr>
          <w:rFonts w:eastAsia="楷体_GB2312"/>
          <w:b/>
          <w:color w:val="000000"/>
          <w:sz w:val="24"/>
        </w:rPr>
        <w:t>机构的更换</w:t>
      </w:r>
    </w:p>
    <w:p w14:paraId="6233FEC9">
      <w:pPr>
        <w:spacing w:line="380" w:lineRule="atLeast"/>
        <w:ind w:left="1984"/>
        <w:rPr>
          <w:rFonts w:eastAsia="楷体_GB2312"/>
          <w:color w:val="000000"/>
          <w:sz w:val="24"/>
        </w:rPr>
      </w:pPr>
    </w:p>
    <w:p w14:paraId="7FC249CB">
      <w:pPr>
        <w:tabs>
          <w:tab w:val="left" w:pos="1985"/>
          <w:tab w:val="left" w:pos="2073"/>
        </w:tabs>
        <w:spacing w:line="380" w:lineRule="exact"/>
        <w:ind w:left="1701"/>
        <w:rPr>
          <w:rFonts w:eastAsia="楷体_GB2312"/>
          <w:color w:val="000000"/>
          <w:sz w:val="24"/>
        </w:rPr>
      </w:pPr>
      <w:r>
        <w:rPr>
          <w:rFonts w:eastAsia="楷体_GB2312"/>
          <w:sz w:val="24"/>
        </w:rPr>
        <w:t>在发生“贷款服务机构解任事件”时，应更换“贷款服务机构”。</w:t>
      </w:r>
      <w:r>
        <w:rPr>
          <w:rFonts w:eastAsia="楷体_GB2312"/>
          <w:color w:val="000000"/>
          <w:sz w:val="24"/>
        </w:rPr>
        <w:t>更换</w:t>
      </w:r>
      <w:r>
        <w:rPr>
          <w:rFonts w:eastAsia="楷体_GB2312"/>
          <w:sz w:val="24"/>
        </w:rPr>
        <w:t>“</w:t>
      </w:r>
      <w:r>
        <w:rPr>
          <w:rFonts w:eastAsia="楷体_GB2312"/>
          <w:color w:val="000000"/>
          <w:sz w:val="24"/>
        </w:rPr>
        <w:t>贷款服务机构</w:t>
      </w:r>
      <w:r>
        <w:rPr>
          <w:rFonts w:eastAsia="楷体_GB2312"/>
          <w:sz w:val="24"/>
        </w:rPr>
        <w:t>”</w:t>
      </w:r>
      <w:r>
        <w:rPr>
          <w:rFonts w:eastAsia="楷体_GB2312"/>
          <w:color w:val="000000"/>
          <w:sz w:val="24"/>
        </w:rPr>
        <w:t>的具体程序由</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和</w:t>
      </w:r>
      <w:r>
        <w:rPr>
          <w:rFonts w:eastAsia="楷体_GB2312"/>
          <w:sz w:val="24"/>
        </w:rPr>
        <w:t>“</w:t>
      </w:r>
      <w:r>
        <w:rPr>
          <w:rFonts w:eastAsia="楷体_GB2312"/>
          <w:color w:val="000000"/>
          <w:sz w:val="24"/>
        </w:rPr>
        <w:t>贷款服务机构</w:t>
      </w:r>
      <w:r>
        <w:rPr>
          <w:rFonts w:eastAsia="楷体_GB2312"/>
          <w:sz w:val="24"/>
        </w:rPr>
        <w:t>”</w:t>
      </w:r>
      <w:r>
        <w:rPr>
          <w:rFonts w:eastAsia="楷体_GB2312"/>
          <w:color w:val="000000"/>
          <w:sz w:val="24"/>
        </w:rPr>
        <w:t>在</w:t>
      </w:r>
      <w:r>
        <w:rPr>
          <w:rFonts w:eastAsia="楷体_GB2312"/>
          <w:sz w:val="24"/>
        </w:rPr>
        <w:t>“</w:t>
      </w:r>
      <w:r>
        <w:rPr>
          <w:rFonts w:eastAsia="楷体_GB2312"/>
          <w:color w:val="000000"/>
          <w:sz w:val="24"/>
        </w:rPr>
        <w:t>《服务合同》</w:t>
      </w:r>
      <w:r>
        <w:rPr>
          <w:rFonts w:eastAsia="楷体_GB2312"/>
          <w:sz w:val="24"/>
        </w:rPr>
        <w:t>”</w:t>
      </w:r>
      <w:r>
        <w:rPr>
          <w:rFonts w:eastAsia="楷体_GB2312"/>
          <w:color w:val="000000"/>
          <w:sz w:val="24"/>
        </w:rPr>
        <w:t>中具体约定。</w:t>
      </w:r>
    </w:p>
    <w:p w14:paraId="5B95FCB6">
      <w:pPr>
        <w:spacing w:line="380" w:lineRule="atLeast"/>
        <w:ind w:left="2340" w:hanging="1064"/>
        <w:rPr>
          <w:rFonts w:eastAsia="楷体_GB2312"/>
          <w:sz w:val="24"/>
        </w:rPr>
      </w:pPr>
    </w:p>
    <w:p w14:paraId="240CB7A6">
      <w:pPr>
        <w:numPr>
          <w:ilvl w:val="2"/>
          <w:numId w:val="4"/>
        </w:numPr>
        <w:tabs>
          <w:tab w:val="left" w:pos="900"/>
        </w:tabs>
        <w:spacing w:line="380" w:lineRule="atLeast"/>
        <w:ind w:left="1620" w:hanging="769"/>
        <w:rPr>
          <w:rFonts w:eastAsia="楷体_GB2312"/>
          <w:b/>
          <w:sz w:val="24"/>
        </w:rPr>
      </w:pPr>
      <w:bookmarkStart w:id="455" w:name="_Toc111281803"/>
      <w:bookmarkStart w:id="456" w:name="_Ref221140309"/>
      <w:bookmarkStart w:id="457" w:name="_Toc110153446"/>
      <w:r>
        <w:rPr>
          <w:rFonts w:eastAsia="楷体_GB2312"/>
          <w:b/>
          <w:sz w:val="24"/>
        </w:rPr>
        <w:t>信托资金的保管</w:t>
      </w:r>
      <w:bookmarkEnd w:id="455"/>
      <w:bookmarkEnd w:id="456"/>
      <w:bookmarkEnd w:id="457"/>
    </w:p>
    <w:p w14:paraId="16EE1381">
      <w:pPr>
        <w:spacing w:line="380" w:lineRule="atLeast"/>
        <w:rPr>
          <w:rFonts w:eastAsia="楷体_GB2312"/>
          <w:b/>
          <w:sz w:val="24"/>
        </w:rPr>
      </w:pPr>
    </w:p>
    <w:p w14:paraId="466EF82E">
      <w:pPr>
        <w:pStyle w:val="78"/>
        <w:numPr>
          <w:ilvl w:val="0"/>
          <w:numId w:val="22"/>
        </w:numPr>
        <w:tabs>
          <w:tab w:val="left" w:pos="425"/>
          <w:tab w:val="left" w:pos="900"/>
          <w:tab w:val="left" w:pos="1571"/>
        </w:tabs>
        <w:spacing w:line="380" w:lineRule="atLeast"/>
        <w:ind w:left="2127" w:hanging="426" w:firstLineChars="0"/>
        <w:rPr>
          <w:rFonts w:eastAsia="楷体_GB2312"/>
          <w:b/>
          <w:sz w:val="24"/>
        </w:rPr>
      </w:pPr>
      <w:r>
        <w:rPr>
          <w:rFonts w:eastAsia="楷体_GB2312"/>
          <w:b/>
          <w:sz w:val="24"/>
        </w:rPr>
        <w:t>委托资金保管机构及其职责概述</w:t>
      </w:r>
    </w:p>
    <w:p w14:paraId="2A33DF05">
      <w:pPr>
        <w:spacing w:line="380" w:lineRule="atLeast"/>
        <w:rPr>
          <w:rFonts w:eastAsia="楷体_GB2312"/>
          <w:sz w:val="24"/>
        </w:rPr>
      </w:pPr>
    </w:p>
    <w:p w14:paraId="22FF8248">
      <w:pPr>
        <w:tabs>
          <w:tab w:val="left" w:pos="1985"/>
          <w:tab w:val="left" w:pos="2073"/>
        </w:tabs>
        <w:spacing w:line="380" w:lineRule="exact"/>
        <w:ind w:left="2127"/>
        <w:rPr>
          <w:rFonts w:eastAsia="楷体_GB2312"/>
          <w:sz w:val="24"/>
        </w:rPr>
      </w:pPr>
      <w:r>
        <w:rPr>
          <w:rFonts w:eastAsia="楷体_GB2312"/>
          <w:sz w:val="24"/>
        </w:rPr>
        <w:t>“受托人”应当在“资金保管机构”开立“信托账户”，并委托“资金保管机构”对该账户内的资金进行保管。“受托人”与“资金保管机构”应当就资金保管事宜另行签订“《资金保管合同》”，由“资金保管机构”负责监督“信托账户”内资金的使用。“资金保管机构”应根据“《资金保管合同》”的约定履行如下职责：开立“信托账户”、保管“保管资金”、根据“受托人”发出的“划款指令”向“支付代理机构”划付将兑付“资产支持证券持有人”的资金、根据“受托人”发出的“划款指令”管理“保管资金”、提供“资金保管报告”、资金记账、划付“回收款”、“信托账户”结息及“《资金保管合同》”约定的其他职责。</w:t>
      </w:r>
    </w:p>
    <w:p w14:paraId="3F35D83A">
      <w:pPr>
        <w:spacing w:line="380" w:lineRule="atLeast"/>
        <w:rPr>
          <w:rFonts w:eastAsia="楷体_GB2312"/>
          <w:b/>
          <w:sz w:val="24"/>
        </w:rPr>
      </w:pPr>
    </w:p>
    <w:p w14:paraId="0FB4FB45">
      <w:pPr>
        <w:pStyle w:val="78"/>
        <w:numPr>
          <w:ilvl w:val="0"/>
          <w:numId w:val="22"/>
        </w:numPr>
        <w:tabs>
          <w:tab w:val="left" w:pos="425"/>
          <w:tab w:val="left" w:pos="900"/>
          <w:tab w:val="left" w:pos="1571"/>
        </w:tabs>
        <w:spacing w:line="380" w:lineRule="atLeast"/>
        <w:ind w:left="2127" w:hanging="426" w:firstLineChars="0"/>
        <w:rPr>
          <w:rFonts w:eastAsia="楷体_GB2312"/>
          <w:b/>
          <w:bCs/>
          <w:sz w:val="24"/>
        </w:rPr>
      </w:pPr>
      <w:bookmarkStart w:id="458" w:name="_Ref51281759"/>
      <w:r>
        <w:rPr>
          <w:rFonts w:eastAsia="楷体_GB2312"/>
          <w:b/>
          <w:bCs/>
          <w:sz w:val="24"/>
        </w:rPr>
        <w:t>保管资金的合格投资</w:t>
      </w:r>
      <w:bookmarkEnd w:id="458"/>
    </w:p>
    <w:p w14:paraId="2D184382">
      <w:pPr>
        <w:spacing w:line="380" w:lineRule="atLeast"/>
        <w:rPr>
          <w:rFonts w:eastAsia="楷体_GB2312"/>
          <w:color w:val="000000"/>
          <w:sz w:val="24"/>
        </w:rPr>
      </w:pPr>
    </w:p>
    <w:p w14:paraId="16E2A9F8">
      <w:pPr>
        <w:tabs>
          <w:tab w:val="left" w:pos="1985"/>
          <w:tab w:val="left" w:pos="2073"/>
        </w:tabs>
        <w:spacing w:line="380" w:lineRule="exact"/>
        <w:ind w:left="2127"/>
        <w:rPr>
          <w:rFonts w:eastAsia="楷体_GB2312"/>
          <w:sz w:val="24"/>
        </w:rPr>
      </w:pPr>
      <w:r>
        <w:rPr>
          <w:rFonts w:eastAsia="楷体_GB2312"/>
          <w:sz w:val="24"/>
        </w:rPr>
        <w:t>在“信托期限”内，“受托人”应按如下规则将“保管资金”</w:t>
      </w:r>
      <w:bookmarkStart w:id="459" w:name="_Ref148437946"/>
      <w:r>
        <w:rPr>
          <w:rFonts w:eastAsia="楷体_GB2312"/>
          <w:sz w:val="24"/>
        </w:rPr>
        <w:t>进行“合格投资”：</w:t>
      </w:r>
      <w:bookmarkEnd w:id="459"/>
    </w:p>
    <w:p w14:paraId="109F5D79">
      <w:pPr>
        <w:spacing w:line="380" w:lineRule="atLeast"/>
        <w:ind w:left="1998" w:leftChars="999"/>
        <w:rPr>
          <w:rFonts w:eastAsia="楷体_GB2312"/>
          <w:sz w:val="24"/>
        </w:rPr>
      </w:pPr>
    </w:p>
    <w:p w14:paraId="4CD19E48">
      <w:pPr>
        <w:numPr>
          <w:ilvl w:val="0"/>
          <w:numId w:val="23"/>
        </w:numPr>
        <w:tabs>
          <w:tab w:val="clear" w:pos="2100"/>
        </w:tabs>
        <w:autoSpaceDE w:val="0"/>
        <w:autoSpaceDN w:val="0"/>
        <w:adjustRightInd w:val="0"/>
        <w:spacing w:line="380" w:lineRule="atLeast"/>
        <w:ind w:left="2552"/>
        <w:rPr>
          <w:rFonts w:eastAsia="楷体_GB2312"/>
          <w:sz w:val="24"/>
        </w:rPr>
      </w:pPr>
      <w:r>
        <w:rPr>
          <w:rFonts w:eastAsia="楷体_GB2312"/>
          <w:sz w:val="24"/>
        </w:rPr>
        <w:t>“受托人”有权指示“资金保管机构”将“信托账户”中的闲置资金运用于“合格投资”。“受托人”应保存所有按照本合同第</w:t>
      </w:r>
      <w:r>
        <w:rPr>
          <w:rFonts w:eastAsia="楷体_GB2312"/>
          <w:sz w:val="24"/>
        </w:rPr>
        <w:fldChar w:fldCharType="begin"/>
      </w:r>
      <w:r>
        <w:rPr>
          <w:rFonts w:eastAsia="楷体_GB2312"/>
          <w:sz w:val="24"/>
        </w:rPr>
        <w:instrText xml:space="preserve"> REF _Ref221140309 \r \h </w:instrText>
      </w:r>
      <w:r>
        <w:rPr>
          <w:rFonts w:eastAsia="楷体_GB2312"/>
          <w:sz w:val="24"/>
        </w:rPr>
        <w:fldChar w:fldCharType="separate"/>
      </w:r>
      <w:r>
        <w:rPr>
          <w:rFonts w:eastAsia="楷体_GB2312"/>
          <w:sz w:val="24"/>
        </w:rPr>
        <w:t>11.2.2</w:t>
      </w:r>
      <w:r>
        <w:rPr>
          <w:rFonts w:eastAsia="楷体_GB2312"/>
          <w:sz w:val="24"/>
        </w:rPr>
        <w:fldChar w:fldCharType="end"/>
      </w:r>
      <w:r>
        <w:rPr>
          <w:rFonts w:eastAsia="楷体_GB2312"/>
          <w:sz w:val="24"/>
        </w:rPr>
        <w:t>款</w:t>
      </w:r>
      <w:r>
        <w:rPr>
          <w:rFonts w:hint="eastAsia" w:eastAsia="楷体_GB2312"/>
          <w:sz w:val="24"/>
        </w:rPr>
        <w:t>第(2)项</w:t>
      </w:r>
      <w:r>
        <w:rPr>
          <w:rFonts w:eastAsia="楷体_GB2312"/>
          <w:sz w:val="24"/>
        </w:rPr>
        <w:t>约定取得、处分“合格投资”的记录。</w:t>
      </w:r>
    </w:p>
    <w:p w14:paraId="20B21A42">
      <w:pPr>
        <w:pStyle w:val="78"/>
        <w:ind w:firstLine="480"/>
        <w:rPr>
          <w:rFonts w:eastAsia="楷体_GB2312"/>
          <w:sz w:val="24"/>
        </w:rPr>
      </w:pPr>
    </w:p>
    <w:p w14:paraId="6BA6113E">
      <w:pPr>
        <w:numPr>
          <w:ilvl w:val="0"/>
          <w:numId w:val="23"/>
        </w:numPr>
        <w:tabs>
          <w:tab w:val="clear" w:pos="2100"/>
        </w:tabs>
        <w:autoSpaceDE w:val="0"/>
        <w:autoSpaceDN w:val="0"/>
        <w:adjustRightInd w:val="0"/>
        <w:spacing w:line="380" w:lineRule="atLeast"/>
        <w:ind w:left="2552"/>
        <w:rPr>
          <w:rFonts w:eastAsia="楷体_GB2312"/>
          <w:sz w:val="24"/>
        </w:rPr>
      </w:pPr>
      <w:r>
        <w:rPr>
          <w:rFonts w:eastAsia="楷体_GB2312"/>
          <w:sz w:val="24"/>
        </w:rPr>
        <w:t>“信托账”项下资金的“合格投资”的全部投资收益构成“收入回收款”的一部分，应直接转入“收益账”并于每个“信托利益核算日”按照本合同第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条的约定运用。</w:t>
      </w:r>
    </w:p>
    <w:p w14:paraId="5CF06B5C">
      <w:pPr>
        <w:pStyle w:val="78"/>
        <w:ind w:firstLine="480"/>
        <w:rPr>
          <w:rFonts w:eastAsia="楷体_GB2312"/>
          <w:sz w:val="24"/>
        </w:rPr>
      </w:pPr>
    </w:p>
    <w:p w14:paraId="0E53A1BC">
      <w:pPr>
        <w:numPr>
          <w:ilvl w:val="0"/>
          <w:numId w:val="23"/>
        </w:numPr>
        <w:tabs>
          <w:tab w:val="clear" w:pos="2100"/>
        </w:tabs>
        <w:autoSpaceDE w:val="0"/>
        <w:autoSpaceDN w:val="0"/>
        <w:adjustRightInd w:val="0"/>
        <w:spacing w:line="380" w:lineRule="atLeast"/>
        <w:ind w:left="2552"/>
        <w:rPr>
          <w:rFonts w:eastAsia="楷体_GB2312"/>
          <w:sz w:val="24"/>
        </w:rPr>
      </w:pPr>
      <w:r>
        <w:rPr>
          <w:rFonts w:eastAsia="楷体_GB2312"/>
          <w:sz w:val="24"/>
        </w:rPr>
        <w:t>如果一项投资不再是“合格投资”，“受托人”应事先通知“评级机构”，于实际可行时尽快清算该等投资，并将所得款项再投资于“合格投资”。</w:t>
      </w:r>
    </w:p>
    <w:p w14:paraId="39705FB2">
      <w:pPr>
        <w:pStyle w:val="78"/>
        <w:ind w:firstLine="480"/>
        <w:rPr>
          <w:rFonts w:eastAsia="楷体_GB2312"/>
          <w:sz w:val="24"/>
        </w:rPr>
      </w:pPr>
    </w:p>
    <w:p w14:paraId="2714048F">
      <w:pPr>
        <w:numPr>
          <w:ilvl w:val="0"/>
          <w:numId w:val="23"/>
        </w:numPr>
        <w:tabs>
          <w:tab w:val="clear" w:pos="2100"/>
        </w:tabs>
        <w:autoSpaceDE w:val="0"/>
        <w:autoSpaceDN w:val="0"/>
        <w:adjustRightInd w:val="0"/>
        <w:spacing w:line="380" w:lineRule="atLeast"/>
        <w:ind w:left="2552"/>
        <w:rPr>
          <w:rFonts w:eastAsia="楷体_GB2312"/>
          <w:sz w:val="24"/>
        </w:rPr>
      </w:pPr>
      <w:r>
        <w:rPr>
          <w:rFonts w:eastAsia="楷体_GB2312"/>
          <w:sz w:val="24"/>
        </w:rPr>
        <w:t>只要“受托人”指示“资金保管机构”将“信托账户”中的资金投资于“合格投资”，“资金保管机构”按照“《资金保管合同》”的约定将“信托账户”中的资金用于“合格投资”，则“资金保管机构”和“受托人”对于因价值贬损或该等“合格投资”造成的任何损失不承担责任，对于该等投资的回报少于采用其他形式投资或向其他机构投资所得的回报也不承担责任。</w:t>
      </w:r>
    </w:p>
    <w:p w14:paraId="45FFB412">
      <w:pPr>
        <w:spacing w:line="380" w:lineRule="atLeast"/>
        <w:rPr>
          <w:rFonts w:eastAsia="楷体_GB2312"/>
          <w:color w:val="000000"/>
          <w:sz w:val="24"/>
        </w:rPr>
      </w:pPr>
    </w:p>
    <w:p w14:paraId="7DABF35F">
      <w:pPr>
        <w:pStyle w:val="78"/>
        <w:numPr>
          <w:ilvl w:val="0"/>
          <w:numId w:val="22"/>
        </w:numPr>
        <w:tabs>
          <w:tab w:val="left" w:pos="425"/>
          <w:tab w:val="left" w:pos="900"/>
          <w:tab w:val="left" w:pos="1571"/>
        </w:tabs>
        <w:spacing w:line="380" w:lineRule="atLeast"/>
        <w:ind w:left="2127" w:hanging="426" w:firstLineChars="0"/>
        <w:rPr>
          <w:rFonts w:eastAsia="楷体_GB2312"/>
          <w:b/>
          <w:bCs/>
          <w:sz w:val="24"/>
        </w:rPr>
      </w:pPr>
      <w:r>
        <w:rPr>
          <w:rFonts w:eastAsia="楷体_GB2312"/>
          <w:b/>
          <w:bCs/>
          <w:sz w:val="24"/>
        </w:rPr>
        <w:t>资金保管机构的更换</w:t>
      </w:r>
    </w:p>
    <w:p w14:paraId="48A485BD">
      <w:pPr>
        <w:spacing w:line="380" w:lineRule="atLeast"/>
        <w:rPr>
          <w:rFonts w:eastAsia="楷体_GB2312"/>
          <w:color w:val="000000"/>
          <w:sz w:val="24"/>
        </w:rPr>
      </w:pPr>
    </w:p>
    <w:p w14:paraId="6AAB71CF">
      <w:pPr>
        <w:tabs>
          <w:tab w:val="left" w:pos="1985"/>
          <w:tab w:val="left" w:pos="2073"/>
        </w:tabs>
        <w:spacing w:line="380" w:lineRule="exact"/>
        <w:ind w:left="2127"/>
        <w:rPr>
          <w:rFonts w:eastAsia="楷体_GB2312"/>
          <w:color w:val="000000"/>
          <w:sz w:val="24"/>
        </w:rPr>
      </w:pPr>
      <w:r>
        <w:rPr>
          <w:rFonts w:eastAsia="楷体_GB2312"/>
          <w:color w:val="000000"/>
          <w:sz w:val="24"/>
        </w:rPr>
        <w:t>在</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发生</w:t>
      </w:r>
      <w:r>
        <w:rPr>
          <w:rFonts w:eastAsia="楷体_GB2312"/>
          <w:sz w:val="24"/>
        </w:rPr>
        <w:t>“</w:t>
      </w:r>
      <w:r>
        <w:rPr>
          <w:rFonts w:eastAsia="楷体_GB2312"/>
          <w:color w:val="000000"/>
          <w:sz w:val="24"/>
        </w:rPr>
        <w:t>资金保管机构</w:t>
      </w:r>
      <w:r>
        <w:rPr>
          <w:rFonts w:eastAsia="楷体_GB2312"/>
          <w:sz w:val="24"/>
        </w:rPr>
        <w:t>解任事件”时</w:t>
      </w:r>
      <w:r>
        <w:rPr>
          <w:rFonts w:eastAsia="楷体_GB2312"/>
          <w:color w:val="000000"/>
          <w:sz w:val="24"/>
        </w:rPr>
        <w:t>，应更换</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。更换</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的具体程序由</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和</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在</w:t>
      </w:r>
      <w:r>
        <w:rPr>
          <w:rFonts w:eastAsia="楷体_GB2312"/>
          <w:sz w:val="24"/>
        </w:rPr>
        <w:t>“</w:t>
      </w:r>
      <w:r>
        <w:rPr>
          <w:rFonts w:eastAsia="楷体_GB2312"/>
          <w:color w:val="000000"/>
          <w:sz w:val="24"/>
        </w:rPr>
        <w:t>《资金保管合同》</w:t>
      </w:r>
      <w:r>
        <w:rPr>
          <w:rFonts w:eastAsia="楷体_GB2312"/>
          <w:sz w:val="24"/>
        </w:rPr>
        <w:t>”</w:t>
      </w:r>
      <w:r>
        <w:rPr>
          <w:rFonts w:eastAsia="楷体_GB2312"/>
          <w:color w:val="000000"/>
          <w:sz w:val="24"/>
        </w:rPr>
        <w:t>中具体约定。</w:t>
      </w:r>
    </w:p>
    <w:p w14:paraId="4E39FD59">
      <w:pPr>
        <w:spacing w:line="380" w:lineRule="atLeast"/>
        <w:rPr>
          <w:rFonts w:eastAsia="楷体_GB2312"/>
          <w:b/>
          <w:sz w:val="24"/>
        </w:rPr>
      </w:pPr>
    </w:p>
    <w:p w14:paraId="21B90F6F">
      <w:pPr>
        <w:numPr>
          <w:ilvl w:val="0"/>
          <w:numId w:val="4"/>
        </w:numPr>
        <w:tabs>
          <w:tab w:val="left" w:pos="992"/>
        </w:tabs>
        <w:spacing w:line="380" w:lineRule="atLeast"/>
        <w:ind w:left="487" w:hanging="487" w:hangingChars="202"/>
        <w:outlineLvl w:val="0"/>
        <w:rPr>
          <w:rFonts w:eastAsia="楷体_GB2312"/>
          <w:b/>
          <w:sz w:val="24"/>
        </w:rPr>
      </w:pPr>
      <w:bookmarkStart w:id="460" w:name="_Toc32705"/>
      <w:bookmarkStart w:id="461" w:name="_Toc51277222"/>
      <w:bookmarkStart w:id="462" w:name="_Toc373951553"/>
      <w:bookmarkStart w:id="463" w:name="_Ref373951204"/>
      <w:bookmarkStart w:id="464" w:name="_Toc111281804"/>
      <w:bookmarkStart w:id="465" w:name="_Toc110153447"/>
      <w:r>
        <w:rPr>
          <w:rFonts w:eastAsia="楷体_GB2312"/>
          <w:b/>
          <w:sz w:val="24"/>
        </w:rPr>
        <w:t>不合格信贷资产的赎回</w:t>
      </w:r>
      <w:bookmarkEnd w:id="460"/>
      <w:bookmarkEnd w:id="461"/>
      <w:bookmarkEnd w:id="462"/>
      <w:bookmarkEnd w:id="463"/>
    </w:p>
    <w:p w14:paraId="5391CF78">
      <w:pPr>
        <w:pStyle w:val="78"/>
        <w:spacing w:line="360" w:lineRule="auto"/>
        <w:ind w:left="425" w:firstLine="0" w:firstLineChars="0"/>
        <w:rPr>
          <w:rFonts w:eastAsia="楷体_GB2312"/>
          <w:b/>
          <w:bCs/>
          <w:i/>
          <w:iCs/>
          <w:snapToGrid w:val="0"/>
          <w:color w:val="FF0000"/>
          <w:kern w:val="28"/>
          <w:sz w:val="24"/>
        </w:rPr>
      </w:pPr>
      <w:r>
        <w:rPr>
          <w:rFonts w:eastAsia="楷体_GB2312"/>
          <w:b/>
          <w:bCs/>
          <w:i/>
          <w:iCs/>
          <w:snapToGrid w:val="0"/>
          <w:color w:val="FF0000"/>
          <w:kern w:val="28"/>
          <w:sz w:val="24"/>
        </w:rPr>
        <w:t>【注：不合格资产的赎回流程可根据具体项目情况调整。】</w:t>
      </w:r>
    </w:p>
    <w:p w14:paraId="1BD106A3">
      <w:pPr>
        <w:spacing w:line="380" w:lineRule="atLeast"/>
        <w:rPr>
          <w:rFonts w:eastAsia="楷体_GB2312"/>
          <w:color w:val="0000FF"/>
          <w:sz w:val="24"/>
        </w:rPr>
      </w:pPr>
    </w:p>
    <w:p w14:paraId="3CF85F1A">
      <w:pPr>
        <w:numPr>
          <w:ilvl w:val="1"/>
          <w:numId w:val="4"/>
        </w:numPr>
        <w:spacing w:line="380" w:lineRule="atLeast"/>
        <w:rPr>
          <w:rFonts w:eastAsia="楷体_GB2312"/>
          <w:b/>
          <w:color w:val="0000FF"/>
          <w:sz w:val="24"/>
        </w:rPr>
      </w:pPr>
      <w:bookmarkStart w:id="466" w:name="_Ref331774760"/>
      <w:r>
        <w:rPr>
          <w:rFonts w:eastAsia="楷体_GB2312"/>
          <w:b/>
          <w:sz w:val="24"/>
        </w:rPr>
        <w:t>不合格信贷资产的赎回通知</w:t>
      </w:r>
      <w:bookmarkEnd w:id="466"/>
    </w:p>
    <w:p w14:paraId="1F6531A7">
      <w:pPr>
        <w:spacing w:line="380" w:lineRule="atLeast"/>
        <w:ind w:left="851"/>
        <w:rPr>
          <w:rFonts w:eastAsia="楷体_GB2312"/>
          <w:sz w:val="24"/>
        </w:rPr>
      </w:pPr>
    </w:p>
    <w:p w14:paraId="082E98E8">
      <w:pPr>
        <w:spacing w:line="380" w:lineRule="atLeast"/>
        <w:ind w:left="944" w:leftChars="472"/>
        <w:rPr>
          <w:rFonts w:eastAsia="楷体_GB2312"/>
          <w:color w:val="0000FF"/>
          <w:sz w:val="24"/>
        </w:rPr>
      </w:pPr>
      <w:r>
        <w:rPr>
          <w:rFonts w:eastAsia="楷体_GB2312"/>
          <w:sz w:val="24"/>
        </w:rPr>
        <w:t>在“信托期限”内，如“委托人”、“受托人”或者“贷款服务机构”发现“不合格信贷资产”，则“委托人”或“贷款服务机构”应在发现“不合格信贷资产”后【】个“工作日”内通知“受托人”；“受托人”有权按照本合同第</w:t>
      </w:r>
      <w:r>
        <w:rPr>
          <w:rFonts w:eastAsia="楷体_GB2312"/>
        </w:rPr>
        <w:fldChar w:fldCharType="begin"/>
      </w:r>
      <w:r>
        <w:rPr>
          <w:rFonts w:eastAsia="楷体_GB2312"/>
        </w:rPr>
        <w:instrText xml:space="preserve"> REF _Ref331774669 \r \h  \* MERGEFORMAT </w:instrText>
      </w:r>
      <w:r>
        <w:rPr>
          <w:rFonts w:eastAsia="楷体_GB2312"/>
        </w:rPr>
        <w:fldChar w:fldCharType="separate"/>
      </w:r>
      <w:r>
        <w:rPr>
          <w:rFonts w:eastAsia="楷体_GB2312"/>
          <w:sz w:val="24"/>
        </w:rPr>
        <w:t>12.2</w:t>
      </w:r>
      <w:r>
        <w:rPr>
          <w:rFonts w:eastAsia="楷体_GB2312"/>
        </w:rPr>
        <w:fldChar w:fldCharType="end"/>
      </w:r>
      <w:r>
        <w:rPr>
          <w:rFonts w:eastAsia="楷体_GB2312"/>
          <w:sz w:val="24"/>
        </w:rPr>
        <w:t>款的约定通知“委托人”对前述“不合格信贷资产”予以“赎回”。在发出“赎回”“不合格信贷资产”的通知时，“受托人”应出具相关</w:t>
      </w:r>
      <w:r>
        <w:rPr>
          <w:rFonts w:eastAsia="楷体_GB2312"/>
          <w:bCs/>
          <w:sz w:val="24"/>
        </w:rPr>
        <w:t>“</w:t>
      </w:r>
      <w:r>
        <w:rPr>
          <w:rFonts w:eastAsia="楷体_GB2312"/>
          <w:sz w:val="24"/>
        </w:rPr>
        <w:t>信贷资产</w:t>
      </w:r>
      <w:r>
        <w:rPr>
          <w:rFonts w:eastAsia="楷体_GB2312"/>
          <w:bCs/>
          <w:sz w:val="24"/>
        </w:rPr>
        <w:t>”</w:t>
      </w:r>
      <w:r>
        <w:rPr>
          <w:rFonts w:eastAsia="楷体_GB2312"/>
          <w:sz w:val="24"/>
        </w:rPr>
        <w:t>不合格的书面理由。</w:t>
      </w:r>
    </w:p>
    <w:p w14:paraId="7EACA976">
      <w:pPr>
        <w:tabs>
          <w:tab w:val="left" w:pos="1571"/>
        </w:tabs>
        <w:spacing w:line="380" w:lineRule="atLeast"/>
        <w:ind w:left="1620" w:hanging="769"/>
        <w:rPr>
          <w:rFonts w:eastAsia="楷体_GB2312"/>
          <w:color w:val="0000FF"/>
          <w:sz w:val="24"/>
        </w:rPr>
      </w:pPr>
    </w:p>
    <w:p w14:paraId="40EE0203">
      <w:pPr>
        <w:numPr>
          <w:ilvl w:val="1"/>
          <w:numId w:val="4"/>
        </w:numPr>
        <w:spacing w:line="380" w:lineRule="atLeast"/>
        <w:rPr>
          <w:rFonts w:eastAsia="楷体_GB2312"/>
          <w:b/>
          <w:sz w:val="24"/>
        </w:rPr>
      </w:pPr>
      <w:bookmarkStart w:id="467" w:name="_Ref331774669"/>
      <w:r>
        <w:rPr>
          <w:rFonts w:eastAsia="楷体_GB2312"/>
          <w:b/>
          <w:sz w:val="24"/>
        </w:rPr>
        <w:t>不合格信贷资产的赎回</w:t>
      </w:r>
      <w:bookmarkEnd w:id="467"/>
    </w:p>
    <w:p w14:paraId="05D00788">
      <w:pPr>
        <w:spacing w:line="380" w:lineRule="atLeast"/>
        <w:ind w:left="851"/>
        <w:rPr>
          <w:rFonts w:eastAsia="楷体_GB2312"/>
          <w:sz w:val="24"/>
        </w:rPr>
      </w:pPr>
    </w:p>
    <w:p w14:paraId="18BDA91A">
      <w:pPr>
        <w:numPr>
          <w:ilvl w:val="2"/>
          <w:numId w:val="4"/>
        </w:numPr>
        <w:tabs>
          <w:tab w:val="left" w:pos="900"/>
        </w:tabs>
        <w:spacing w:line="380" w:lineRule="atLeast"/>
        <w:ind w:left="1620" w:hanging="769"/>
        <w:rPr>
          <w:rFonts w:eastAsia="楷体_GB2312"/>
          <w:sz w:val="24"/>
        </w:rPr>
      </w:pPr>
      <w:r>
        <w:rPr>
          <w:rFonts w:eastAsia="楷体_GB2312"/>
          <w:sz w:val="24"/>
        </w:rPr>
        <w:t>在“受托人”要求“委托人”“赎回”“不合格信贷资产”的情况下，“委托人”应于该“收款期间”后的第一个“回收款转付日”或“委托人”与“受托人”协商确认的其他日期，将等同于待“赎回”全部“不合格信贷资产”的“赎回价格”的款项一次性全额划付到“信托账户”。</w:t>
      </w:r>
    </w:p>
    <w:p w14:paraId="3F0D02DE">
      <w:pPr>
        <w:spacing w:line="360" w:lineRule="auto"/>
        <w:ind w:left="1560"/>
        <w:rPr>
          <w:rFonts w:eastAsia="楷体_GB2312"/>
          <w:b/>
          <w:bCs/>
          <w:i/>
          <w:iCs/>
          <w:color w:val="FF0000"/>
          <w:kern w:val="2"/>
          <w:sz w:val="24"/>
          <w:szCs w:val="24"/>
        </w:rPr>
      </w:pPr>
      <w:r>
        <w:rPr>
          <w:rFonts w:eastAsia="楷体_GB2312"/>
          <w:b/>
          <w:bCs/>
          <w:i/>
          <w:iCs/>
          <w:color w:val="FF0000"/>
          <w:kern w:val="2"/>
          <w:sz w:val="24"/>
          <w:szCs w:val="24"/>
        </w:rPr>
        <w:t>【注：不合格资产赎回价款支付时间可根据项目情况进行调整。】</w:t>
      </w:r>
    </w:p>
    <w:p w14:paraId="7133CFDE">
      <w:pPr>
        <w:spacing w:line="380" w:lineRule="atLeast"/>
        <w:ind w:left="851"/>
        <w:rPr>
          <w:rFonts w:eastAsia="楷体_GB2312"/>
          <w:sz w:val="24"/>
        </w:rPr>
      </w:pPr>
    </w:p>
    <w:p w14:paraId="6BBA73F4">
      <w:pPr>
        <w:numPr>
          <w:ilvl w:val="2"/>
          <w:numId w:val="4"/>
        </w:numPr>
        <w:tabs>
          <w:tab w:val="left" w:pos="900"/>
        </w:tabs>
        <w:spacing w:line="380" w:lineRule="atLeast"/>
        <w:ind w:left="1620" w:hanging="769"/>
        <w:rPr>
          <w:rFonts w:eastAsia="楷体_GB2312"/>
          <w:sz w:val="24"/>
        </w:rPr>
      </w:pPr>
      <w:r>
        <w:rPr>
          <w:rFonts w:eastAsia="楷体_GB2312"/>
          <w:sz w:val="24"/>
        </w:rPr>
        <w:t>在由“委托人”承担费用的前提下，“受托人”应：第一，在收到“委托人”</w:t>
      </w:r>
      <w:r>
        <w:rPr>
          <w:rFonts w:eastAsia="楷体_GB2312"/>
          <w:bCs/>
          <w:sz w:val="24"/>
        </w:rPr>
        <w:t>“</w:t>
      </w:r>
      <w:r>
        <w:rPr>
          <w:rFonts w:eastAsia="楷体_GB2312"/>
          <w:sz w:val="24"/>
        </w:rPr>
        <w:t>赎回</w:t>
      </w:r>
      <w:r>
        <w:rPr>
          <w:rFonts w:eastAsia="楷体_GB2312"/>
          <w:bCs/>
          <w:sz w:val="24"/>
        </w:rPr>
        <w:t>”</w:t>
      </w:r>
      <w:r>
        <w:rPr>
          <w:rFonts w:eastAsia="楷体_GB2312"/>
          <w:sz w:val="24"/>
        </w:rPr>
        <w:t>“不合格信贷资产”所支付的相当于“赎回价格”的资金后，立即将“受托人”对该“不合格信贷资产”和相关“账户记录”的（现时的和未来的、实际的和或有的）权利、所有权、利益和收益（包括从相应的“回购起算日”（不含该日）起该“不合格信贷资产”产生的“回收款”）全部转让给“委托人”；第二，指令“贷款服务机构”将相关“账户记录”交付给“委托人”；第三，按照“委托人”的合理意见，协助“委托人”办理必要的所有变更登记和通知手续（如有）。</w:t>
      </w:r>
    </w:p>
    <w:p w14:paraId="6AFF3EAA">
      <w:pPr>
        <w:spacing w:line="380" w:lineRule="atLeast"/>
        <w:rPr>
          <w:rFonts w:eastAsia="楷体_GB2312"/>
          <w:sz w:val="24"/>
        </w:rPr>
      </w:pPr>
    </w:p>
    <w:p w14:paraId="5D13F6AB">
      <w:pPr>
        <w:numPr>
          <w:ilvl w:val="2"/>
          <w:numId w:val="4"/>
        </w:numPr>
        <w:tabs>
          <w:tab w:val="left" w:pos="900"/>
        </w:tabs>
        <w:spacing w:line="380" w:lineRule="atLeast"/>
        <w:ind w:left="1620" w:hanging="769"/>
        <w:rPr>
          <w:rFonts w:eastAsia="楷体_GB2312"/>
          <w:sz w:val="24"/>
        </w:rPr>
      </w:pPr>
      <w:r>
        <w:rPr>
          <w:rFonts w:eastAsia="楷体_GB2312"/>
          <w:sz w:val="24"/>
        </w:rPr>
        <w:t>在“委托人”从“受托人”处“赎回”相关“不合格信贷资产”并支付的相当于“赎回价格”的资金后，“受托人”不应要求“委托人”再承担任何责任。“贷款服务机构”应于相应的“回购起算日”【</w:t>
      </w:r>
      <w:r>
        <w:rPr>
          <w:rFonts w:eastAsia="楷体_GB2312"/>
          <w:bCs/>
          <w:i/>
          <w:iCs/>
          <w:sz w:val="24"/>
        </w:rPr>
        <w:t>具体时点</w:t>
      </w:r>
      <w:r>
        <w:rPr>
          <w:rFonts w:eastAsia="楷体_GB2312"/>
          <w:sz w:val="24"/>
        </w:rPr>
        <w:t>】（“委托人”在首个“收款期间”结束前“赎回”“不合格信贷资产”的，则应于首个“收款期间”结束前）或“受托人”要求的其他日期确定每笔相关“不合格信贷资产”的“赎回价格”，并在相应的“贷款服务机构报告”中加以说明。</w:t>
      </w:r>
    </w:p>
    <w:p w14:paraId="61EAE226">
      <w:pPr>
        <w:spacing w:line="380" w:lineRule="atLeast"/>
        <w:rPr>
          <w:rFonts w:eastAsia="楷体_GB2312"/>
          <w:sz w:val="24"/>
        </w:rPr>
      </w:pPr>
    </w:p>
    <w:p w14:paraId="0AF2B874">
      <w:pPr>
        <w:numPr>
          <w:ilvl w:val="2"/>
          <w:numId w:val="4"/>
        </w:numPr>
        <w:tabs>
          <w:tab w:val="left" w:pos="900"/>
        </w:tabs>
        <w:spacing w:line="380" w:lineRule="atLeast"/>
        <w:ind w:left="1620" w:hanging="769"/>
        <w:rPr>
          <w:rFonts w:eastAsia="楷体_GB2312"/>
          <w:sz w:val="24"/>
        </w:rPr>
      </w:pPr>
      <w:r>
        <w:rPr>
          <w:rFonts w:eastAsia="楷体_GB2312"/>
          <w:sz w:val="24"/>
        </w:rPr>
        <w:t>在收到“委托人”</w:t>
      </w:r>
      <w:r>
        <w:rPr>
          <w:rFonts w:eastAsia="楷体_GB2312"/>
          <w:bCs/>
          <w:sz w:val="24"/>
        </w:rPr>
        <w:t>“</w:t>
      </w:r>
      <w:r>
        <w:rPr>
          <w:rFonts w:eastAsia="楷体_GB2312"/>
          <w:sz w:val="24"/>
        </w:rPr>
        <w:t>赎回</w:t>
      </w:r>
      <w:r>
        <w:rPr>
          <w:rFonts w:eastAsia="楷体_GB2312"/>
          <w:bCs/>
          <w:sz w:val="24"/>
        </w:rPr>
        <w:t>”</w:t>
      </w:r>
      <w:r>
        <w:rPr>
          <w:rFonts w:eastAsia="楷体_GB2312"/>
          <w:sz w:val="24"/>
        </w:rPr>
        <w:t>“不合格信贷资产”所支付的相当于“赎回价格”的资金后，“受托人”应将收到的前述资金相应记入“收益账”和“本金账”。</w:t>
      </w:r>
    </w:p>
    <w:p w14:paraId="1C9AFC28">
      <w:pPr>
        <w:spacing w:line="380" w:lineRule="atLeast"/>
        <w:rPr>
          <w:rFonts w:eastAsia="楷体_GB2312"/>
          <w:sz w:val="24"/>
        </w:rPr>
      </w:pPr>
    </w:p>
    <w:p w14:paraId="00C83EFC">
      <w:pPr>
        <w:numPr>
          <w:ilvl w:val="2"/>
          <w:numId w:val="4"/>
        </w:numPr>
        <w:spacing w:line="380" w:lineRule="atLeast"/>
        <w:ind w:left="1560" w:hanging="709"/>
        <w:rPr>
          <w:rFonts w:eastAsia="楷体_GB2312"/>
          <w:sz w:val="24"/>
        </w:rPr>
      </w:pPr>
      <w:r>
        <w:rPr>
          <w:rFonts w:eastAsia="楷体_GB2312"/>
          <w:sz w:val="24"/>
        </w:rPr>
        <w:t>从发现“不合格信贷资产”之日（含该日）起至“回购起算日”（含该日）止，该“不合格信贷资产”产生的全部“回收款”应视情况分别相应记入“收益账”和“本金账”。</w:t>
      </w:r>
    </w:p>
    <w:p w14:paraId="1D2502B8">
      <w:pPr>
        <w:tabs>
          <w:tab w:val="left" w:pos="1571"/>
        </w:tabs>
        <w:spacing w:line="380" w:lineRule="atLeast"/>
        <w:ind w:left="1620" w:hanging="769"/>
        <w:rPr>
          <w:rFonts w:eastAsia="楷体_GB2312"/>
          <w:sz w:val="24"/>
        </w:rPr>
      </w:pPr>
    </w:p>
    <w:p w14:paraId="2FE61706">
      <w:pPr>
        <w:numPr>
          <w:ilvl w:val="1"/>
          <w:numId w:val="4"/>
        </w:numPr>
        <w:spacing w:line="380" w:lineRule="atLeast"/>
        <w:rPr>
          <w:rFonts w:eastAsia="楷体_GB2312"/>
          <w:sz w:val="24"/>
        </w:rPr>
      </w:pPr>
      <w:r>
        <w:rPr>
          <w:rFonts w:eastAsia="楷体_GB2312"/>
          <w:sz w:val="24"/>
        </w:rPr>
        <w:t>如果“委托人”对“受托人”根据本合同第</w:t>
      </w:r>
      <w:r>
        <w:rPr>
          <w:rFonts w:eastAsia="楷体_GB2312"/>
        </w:rPr>
        <w:fldChar w:fldCharType="begin"/>
      </w:r>
      <w:r>
        <w:rPr>
          <w:rFonts w:eastAsia="楷体_GB2312"/>
        </w:rPr>
        <w:instrText xml:space="preserve"> REF _Ref331774760 \r \h  \* MERGEFORMAT </w:instrText>
      </w:r>
      <w:r>
        <w:rPr>
          <w:rFonts w:eastAsia="楷体_GB2312"/>
        </w:rPr>
        <w:fldChar w:fldCharType="separate"/>
      </w:r>
      <w:r>
        <w:rPr>
          <w:rFonts w:eastAsia="楷体_GB2312"/>
          <w:sz w:val="24"/>
        </w:rPr>
        <w:t>12.1</w:t>
      </w:r>
      <w:r>
        <w:rPr>
          <w:rFonts w:eastAsia="楷体_GB2312"/>
        </w:rPr>
        <w:fldChar w:fldCharType="end"/>
      </w:r>
      <w:r>
        <w:rPr>
          <w:rFonts w:eastAsia="楷体_GB2312"/>
          <w:sz w:val="24"/>
        </w:rPr>
        <w:t>款提出的要求持有异议，双方可以在“受托人”提出要求的【】日内进行友好协商。如果在该期限内双方无法达成一致意见，任何一方可按本合同第</w:t>
      </w:r>
      <w:r>
        <w:rPr>
          <w:rFonts w:eastAsia="楷体_GB2312"/>
        </w:rPr>
        <w:fldChar w:fldCharType="begin"/>
      </w:r>
      <w:r>
        <w:rPr>
          <w:rFonts w:eastAsia="楷体_GB2312"/>
        </w:rPr>
        <w:instrText xml:space="preserve"> REF _Ref111020368 \r \h  \* MERGEFORMAT </w:instrText>
      </w:r>
      <w:r>
        <w:rPr>
          <w:rFonts w:eastAsia="楷体_GB2312"/>
        </w:rPr>
        <w:fldChar w:fldCharType="separate"/>
      </w:r>
      <w:r>
        <w:rPr>
          <w:rFonts w:eastAsia="楷体_GB2312"/>
          <w:sz w:val="24"/>
        </w:rPr>
        <w:t>27</w:t>
      </w:r>
      <w:r>
        <w:rPr>
          <w:rFonts w:eastAsia="楷体_GB2312"/>
        </w:rPr>
        <w:fldChar w:fldCharType="end"/>
      </w:r>
      <w:r>
        <w:rPr>
          <w:rFonts w:eastAsia="楷体_GB2312"/>
          <w:sz w:val="24"/>
        </w:rPr>
        <w:t>条的约定将争议提起【诉讼】解决。</w:t>
      </w:r>
    </w:p>
    <w:p w14:paraId="290E1FC7">
      <w:pPr>
        <w:tabs>
          <w:tab w:val="left" w:pos="1571"/>
        </w:tabs>
        <w:spacing w:line="380" w:lineRule="atLeast"/>
        <w:ind w:left="1620" w:hanging="769"/>
        <w:rPr>
          <w:rFonts w:eastAsia="楷体_GB2312"/>
          <w:sz w:val="24"/>
        </w:rPr>
      </w:pPr>
    </w:p>
    <w:p w14:paraId="1DE5E847">
      <w:pPr>
        <w:numPr>
          <w:ilvl w:val="1"/>
          <w:numId w:val="4"/>
        </w:numPr>
        <w:spacing w:line="380" w:lineRule="atLeast"/>
        <w:rPr>
          <w:rFonts w:eastAsia="楷体_GB2312"/>
          <w:sz w:val="24"/>
        </w:rPr>
      </w:pPr>
      <w:r>
        <w:rPr>
          <w:rFonts w:eastAsia="楷体_GB2312"/>
          <w:sz w:val="24"/>
        </w:rPr>
        <w:t>因进行“不合格信贷资产”“赎回”所发生的费用由“委托人”承担。</w:t>
      </w:r>
    </w:p>
    <w:p w14:paraId="180CB8DC">
      <w:pPr>
        <w:spacing w:line="380" w:lineRule="atLeast"/>
        <w:rPr>
          <w:rFonts w:eastAsia="楷体_GB2312"/>
          <w:sz w:val="24"/>
        </w:rPr>
      </w:pPr>
    </w:p>
    <w:p w14:paraId="3B1C8F93">
      <w:pPr>
        <w:numPr>
          <w:ilvl w:val="1"/>
          <w:numId w:val="4"/>
        </w:numPr>
        <w:spacing w:line="380" w:lineRule="atLeast"/>
        <w:rPr>
          <w:rFonts w:eastAsia="楷体_GB2312"/>
          <w:sz w:val="24"/>
        </w:rPr>
      </w:pPr>
      <w:r>
        <w:rPr>
          <w:rFonts w:eastAsia="楷体_GB2312"/>
          <w:sz w:val="24"/>
        </w:rPr>
        <w:t>在“委托人”对“不合格信贷资产”进行“赎回”后，该“不合格信贷资产”不再属于“信托财产”。</w:t>
      </w:r>
    </w:p>
    <w:p w14:paraId="51BCCCB6">
      <w:pPr>
        <w:spacing w:line="380" w:lineRule="atLeast"/>
        <w:rPr>
          <w:rFonts w:eastAsia="楷体_GB2312"/>
          <w:sz w:val="24"/>
        </w:rPr>
      </w:pPr>
    </w:p>
    <w:p w14:paraId="53063D3B">
      <w:pPr>
        <w:numPr>
          <w:ilvl w:val="0"/>
          <w:numId w:val="4"/>
        </w:numPr>
        <w:spacing w:line="380" w:lineRule="atLeast"/>
        <w:outlineLvl w:val="0"/>
        <w:rPr>
          <w:rFonts w:eastAsia="楷体_GB2312"/>
          <w:b/>
          <w:sz w:val="24"/>
        </w:rPr>
      </w:pPr>
      <w:bookmarkStart w:id="468" w:name="_Toc2068"/>
      <w:bookmarkStart w:id="469" w:name="_Toc51277223"/>
      <w:bookmarkStart w:id="470" w:name="_Toc373951554"/>
      <w:bookmarkStart w:id="471" w:name="_Ref422926927"/>
      <w:r>
        <w:rPr>
          <w:rFonts w:eastAsia="楷体_GB2312"/>
          <w:b/>
          <w:sz w:val="24"/>
        </w:rPr>
        <w:t>受</w:t>
      </w:r>
      <w:bookmarkStart w:id="472" w:name="_Toc106417386"/>
      <w:bookmarkEnd w:id="472"/>
      <w:bookmarkStart w:id="473" w:name="_Toc106417388"/>
      <w:bookmarkEnd w:id="473"/>
      <w:bookmarkStart w:id="474" w:name="_Toc106417387"/>
      <w:bookmarkEnd w:id="474"/>
      <w:bookmarkStart w:id="475" w:name="_Toc106417389"/>
      <w:bookmarkEnd w:id="475"/>
      <w:bookmarkStart w:id="476" w:name="_Toc92612934"/>
      <w:r>
        <w:rPr>
          <w:rFonts w:eastAsia="楷体_GB2312"/>
          <w:b/>
          <w:sz w:val="24"/>
        </w:rPr>
        <w:t>托人辞任、解任、更换和持续管理义务</w:t>
      </w:r>
      <w:bookmarkEnd w:id="464"/>
      <w:bookmarkEnd w:id="465"/>
      <w:bookmarkEnd w:id="468"/>
      <w:bookmarkEnd w:id="469"/>
      <w:bookmarkEnd w:id="470"/>
      <w:bookmarkEnd w:id="471"/>
      <w:bookmarkStart w:id="477" w:name="_Toc51258962"/>
      <w:bookmarkEnd w:id="477"/>
    </w:p>
    <w:bookmarkEnd w:id="476"/>
    <w:p w14:paraId="3167D57A">
      <w:pPr>
        <w:spacing w:line="380" w:lineRule="atLeast"/>
        <w:rPr>
          <w:rFonts w:eastAsia="楷体_GB2312"/>
          <w:b/>
          <w:sz w:val="24"/>
        </w:rPr>
      </w:pPr>
      <w:bookmarkStart w:id="478" w:name="_Toc51258963"/>
      <w:bookmarkEnd w:id="478"/>
    </w:p>
    <w:p w14:paraId="77758960">
      <w:pPr>
        <w:numPr>
          <w:ilvl w:val="1"/>
          <w:numId w:val="4"/>
        </w:numPr>
        <w:spacing w:line="380" w:lineRule="atLeast"/>
        <w:outlineLvl w:val="1"/>
        <w:rPr>
          <w:rFonts w:eastAsia="楷体_GB2312"/>
          <w:b/>
          <w:bCs/>
          <w:sz w:val="24"/>
        </w:rPr>
      </w:pPr>
      <w:bookmarkStart w:id="479" w:name="_Ref110227113"/>
      <w:r>
        <w:rPr>
          <w:rFonts w:eastAsia="楷体_GB2312"/>
          <w:b/>
          <w:bCs/>
          <w:sz w:val="24"/>
        </w:rPr>
        <w:t>更换</w:t>
      </w:r>
      <w:r>
        <w:rPr>
          <w:rFonts w:eastAsia="楷体_GB2312"/>
          <w:b/>
          <w:sz w:val="24"/>
        </w:rPr>
        <w:t>受托</w:t>
      </w:r>
      <w:r>
        <w:rPr>
          <w:rFonts w:eastAsia="楷体_GB2312"/>
          <w:b/>
          <w:bCs/>
          <w:sz w:val="24"/>
        </w:rPr>
        <w:t>人的情形</w:t>
      </w:r>
      <w:bookmarkStart w:id="480" w:name="_Toc51258964"/>
      <w:bookmarkEnd w:id="480"/>
    </w:p>
    <w:p w14:paraId="732422D4">
      <w:pPr>
        <w:spacing w:line="380" w:lineRule="atLeast"/>
        <w:rPr>
          <w:rFonts w:eastAsia="楷体_GB2312"/>
          <w:b/>
          <w:sz w:val="24"/>
        </w:rPr>
      </w:pPr>
      <w:bookmarkStart w:id="481" w:name="_Toc51258965"/>
      <w:bookmarkEnd w:id="481"/>
    </w:p>
    <w:p w14:paraId="4C592211">
      <w:pPr>
        <w:spacing w:line="380" w:lineRule="atLeast"/>
        <w:ind w:left="992"/>
        <w:rPr>
          <w:rFonts w:eastAsia="楷体_GB2312"/>
          <w:sz w:val="24"/>
        </w:rPr>
      </w:pPr>
      <w:r>
        <w:rPr>
          <w:rFonts w:eastAsia="楷体_GB2312"/>
          <w:sz w:val="24"/>
        </w:rPr>
        <w:t>“信托”生效后，发生下列任一情形的，由“资产支持证券持有人大会”更换“受托人”：</w:t>
      </w:r>
      <w:bookmarkEnd w:id="479"/>
      <w:bookmarkStart w:id="482" w:name="_Toc51258966"/>
      <w:bookmarkEnd w:id="482"/>
    </w:p>
    <w:p w14:paraId="127CB42E">
      <w:pPr>
        <w:spacing w:line="380" w:lineRule="atLeast"/>
        <w:rPr>
          <w:rFonts w:eastAsia="楷体_GB2312"/>
          <w:b/>
          <w:sz w:val="24"/>
        </w:rPr>
      </w:pPr>
      <w:bookmarkStart w:id="483" w:name="_Toc51258967"/>
      <w:bookmarkEnd w:id="483"/>
    </w:p>
    <w:p w14:paraId="5518FF8F">
      <w:pPr>
        <w:numPr>
          <w:ilvl w:val="2"/>
          <w:numId w:val="4"/>
        </w:numPr>
        <w:tabs>
          <w:tab w:val="left" w:pos="900"/>
        </w:tabs>
        <w:spacing w:line="380" w:lineRule="atLeast"/>
        <w:ind w:left="1620" w:hanging="769"/>
        <w:rPr>
          <w:rFonts w:eastAsia="楷体_GB2312"/>
          <w:sz w:val="24"/>
        </w:rPr>
      </w:pPr>
      <w:r>
        <w:rPr>
          <w:rFonts w:eastAsia="楷体_GB2312"/>
          <w:color w:val="000000"/>
          <w:sz w:val="24"/>
        </w:rPr>
        <w:t>发生任一“受托人辞任事件”；</w:t>
      </w:r>
      <w:bookmarkStart w:id="484" w:name="_Toc51258968"/>
      <w:bookmarkEnd w:id="484"/>
    </w:p>
    <w:p w14:paraId="3B10E94A">
      <w:pPr>
        <w:spacing w:line="380" w:lineRule="atLeast"/>
        <w:rPr>
          <w:rFonts w:eastAsia="楷体_GB2312"/>
          <w:b/>
          <w:sz w:val="24"/>
        </w:rPr>
      </w:pPr>
      <w:bookmarkStart w:id="485" w:name="_Toc51258969"/>
      <w:bookmarkEnd w:id="485"/>
    </w:p>
    <w:p w14:paraId="12D29BA5">
      <w:pPr>
        <w:numPr>
          <w:ilvl w:val="2"/>
          <w:numId w:val="4"/>
        </w:numPr>
        <w:spacing w:line="380" w:lineRule="atLeast"/>
        <w:rPr>
          <w:rFonts w:eastAsia="楷体_GB2312"/>
          <w:sz w:val="24"/>
        </w:rPr>
      </w:pPr>
      <w:r>
        <w:rPr>
          <w:rFonts w:eastAsia="楷体_GB2312"/>
          <w:color w:val="000000"/>
          <w:sz w:val="24"/>
        </w:rPr>
        <w:t>发生任一“受托</w:t>
      </w:r>
      <w:r>
        <w:rPr>
          <w:rFonts w:eastAsia="楷体_GB2312"/>
          <w:sz w:val="24"/>
        </w:rPr>
        <w:t>人解任事件”。</w:t>
      </w:r>
      <w:bookmarkStart w:id="486" w:name="_Toc51258970"/>
      <w:bookmarkEnd w:id="486"/>
    </w:p>
    <w:p w14:paraId="34A9C1AA">
      <w:pPr>
        <w:spacing w:line="380" w:lineRule="atLeast"/>
        <w:rPr>
          <w:rFonts w:eastAsia="楷体_GB2312"/>
          <w:b/>
          <w:sz w:val="24"/>
        </w:rPr>
      </w:pPr>
      <w:bookmarkStart w:id="487" w:name="_Toc51258971"/>
      <w:bookmarkEnd w:id="487"/>
    </w:p>
    <w:p w14:paraId="6F775D7D">
      <w:pPr>
        <w:numPr>
          <w:ilvl w:val="1"/>
          <w:numId w:val="4"/>
        </w:numPr>
        <w:spacing w:line="380" w:lineRule="atLeast"/>
        <w:outlineLvl w:val="1"/>
        <w:rPr>
          <w:rFonts w:eastAsia="楷体_GB2312"/>
          <w:b/>
          <w:sz w:val="24"/>
        </w:rPr>
      </w:pPr>
      <w:bookmarkStart w:id="488" w:name="_Toc112668124"/>
      <w:bookmarkEnd w:id="488"/>
      <w:bookmarkStart w:id="489" w:name="_Toc112667951"/>
      <w:bookmarkEnd w:id="489"/>
      <w:r>
        <w:rPr>
          <w:rFonts w:eastAsia="楷体_GB2312"/>
          <w:b/>
          <w:sz w:val="24"/>
        </w:rPr>
        <w:t>受托人更换的程序</w:t>
      </w:r>
      <w:bookmarkStart w:id="490" w:name="_Toc51258972"/>
      <w:bookmarkEnd w:id="490"/>
    </w:p>
    <w:p w14:paraId="514A703B">
      <w:pPr>
        <w:spacing w:line="380" w:lineRule="atLeast"/>
        <w:rPr>
          <w:rFonts w:eastAsia="楷体_GB2312"/>
          <w:b/>
          <w:sz w:val="24"/>
        </w:rPr>
      </w:pPr>
      <w:bookmarkStart w:id="491" w:name="_Toc51258973"/>
      <w:bookmarkEnd w:id="491"/>
    </w:p>
    <w:p w14:paraId="2FC06FF6">
      <w:pPr>
        <w:numPr>
          <w:ilvl w:val="2"/>
          <w:numId w:val="4"/>
        </w:numPr>
        <w:spacing w:line="380" w:lineRule="atLeast"/>
        <w:rPr>
          <w:rFonts w:eastAsia="楷体_GB2312"/>
          <w:b/>
          <w:sz w:val="24"/>
        </w:rPr>
      </w:pPr>
      <w:r>
        <w:rPr>
          <w:rFonts w:eastAsia="楷体_GB2312"/>
          <w:b/>
          <w:sz w:val="24"/>
        </w:rPr>
        <w:t>确定新的受托人人选</w:t>
      </w:r>
      <w:bookmarkStart w:id="492" w:name="_Toc51258974"/>
      <w:bookmarkEnd w:id="492"/>
    </w:p>
    <w:p w14:paraId="0493F2C2">
      <w:pPr>
        <w:spacing w:line="380" w:lineRule="atLeast"/>
        <w:rPr>
          <w:rFonts w:eastAsia="楷体_GB2312"/>
          <w:b/>
          <w:sz w:val="24"/>
        </w:rPr>
      </w:pPr>
      <w:bookmarkStart w:id="493" w:name="_Toc51258975"/>
      <w:bookmarkEnd w:id="493"/>
    </w:p>
    <w:p w14:paraId="3AD4AD68">
      <w:pPr>
        <w:pStyle w:val="78"/>
        <w:numPr>
          <w:ilvl w:val="0"/>
          <w:numId w:val="24"/>
        </w:numPr>
        <w:tabs>
          <w:tab w:val="left" w:pos="425"/>
          <w:tab w:val="left" w:pos="900"/>
          <w:tab w:val="left" w:pos="1571"/>
        </w:tabs>
        <w:spacing w:line="380" w:lineRule="atLeast"/>
        <w:ind w:left="2127" w:hanging="426" w:firstLineChars="0"/>
        <w:rPr>
          <w:rFonts w:eastAsia="楷体_GB2312"/>
          <w:b/>
          <w:sz w:val="24"/>
        </w:rPr>
      </w:pPr>
      <w:r>
        <w:rPr>
          <w:rFonts w:eastAsia="楷体_GB2312"/>
          <w:sz w:val="24"/>
        </w:rPr>
        <w:t>在出现本合同第</w:t>
      </w:r>
      <w:r>
        <w:rPr>
          <w:rFonts w:eastAsia="楷体_GB2312"/>
        </w:rPr>
        <w:fldChar w:fldCharType="begin"/>
      </w:r>
      <w:r>
        <w:rPr>
          <w:rFonts w:eastAsia="楷体_GB2312"/>
        </w:rPr>
        <w:instrText xml:space="preserve"> REF _Ref110227113 \r \h  \* MERGEFORMAT </w:instrText>
      </w:r>
      <w:r>
        <w:rPr>
          <w:rFonts w:eastAsia="楷体_GB2312"/>
        </w:rPr>
        <w:fldChar w:fldCharType="separate"/>
      </w:r>
      <w:r>
        <w:rPr>
          <w:rFonts w:eastAsia="楷体_GB2312"/>
          <w:sz w:val="24"/>
        </w:rPr>
        <w:t>13.1</w:t>
      </w:r>
      <w:r>
        <w:rPr>
          <w:rFonts w:eastAsia="楷体_GB2312"/>
        </w:rPr>
        <w:fldChar w:fldCharType="end"/>
      </w:r>
      <w:r>
        <w:rPr>
          <w:rFonts w:eastAsia="楷体_GB2312"/>
          <w:sz w:val="24"/>
        </w:rPr>
        <w:t>款的情况时，由“资产支持证券持有人大会”决定新的“受托人”的人选。</w:t>
      </w:r>
      <w:bookmarkStart w:id="494" w:name="_Toc51258976"/>
      <w:bookmarkEnd w:id="494"/>
    </w:p>
    <w:p w14:paraId="0C0D39B7">
      <w:pPr>
        <w:spacing w:line="380" w:lineRule="atLeast"/>
        <w:ind w:left="2340" w:hanging="1064"/>
        <w:rPr>
          <w:rFonts w:eastAsia="楷体_GB2312"/>
          <w:b/>
          <w:sz w:val="24"/>
        </w:rPr>
      </w:pPr>
      <w:bookmarkStart w:id="495" w:name="_Toc51258977"/>
      <w:bookmarkEnd w:id="495"/>
    </w:p>
    <w:p w14:paraId="726BC72B">
      <w:pPr>
        <w:pStyle w:val="78"/>
        <w:numPr>
          <w:ilvl w:val="0"/>
          <w:numId w:val="24"/>
        </w:numPr>
        <w:tabs>
          <w:tab w:val="left" w:pos="425"/>
          <w:tab w:val="left" w:pos="900"/>
          <w:tab w:val="left" w:pos="1571"/>
        </w:tabs>
        <w:spacing w:line="380" w:lineRule="atLeast"/>
        <w:ind w:left="2127" w:hanging="426" w:firstLineChars="0"/>
        <w:rPr>
          <w:rFonts w:eastAsia="楷体_GB2312"/>
          <w:b/>
          <w:sz w:val="24"/>
        </w:rPr>
      </w:pPr>
      <w:r>
        <w:rPr>
          <w:rFonts w:eastAsia="楷体_GB2312"/>
          <w:sz w:val="24"/>
        </w:rPr>
        <w:t>聘任新的</w:t>
      </w:r>
      <w:r>
        <w:rPr>
          <w:rFonts w:eastAsia="楷体_GB2312"/>
          <w:color w:val="000000"/>
          <w:sz w:val="24"/>
        </w:rPr>
        <w:t>“受托人”</w:t>
      </w:r>
      <w:r>
        <w:rPr>
          <w:rFonts w:eastAsia="楷体_GB2312"/>
          <w:sz w:val="24"/>
        </w:rPr>
        <w:t>的前提条件是新的“受托人”接受“资产支持证券持有人大会”的决议和本合同的各项规定（届时有必要修改的规定除外），并同意担任“信托”项下的新的“受托人”。</w:t>
      </w:r>
      <w:bookmarkStart w:id="496" w:name="_Toc51258978"/>
      <w:bookmarkEnd w:id="496"/>
    </w:p>
    <w:p w14:paraId="2BC4A479">
      <w:pPr>
        <w:spacing w:line="380" w:lineRule="atLeast"/>
        <w:rPr>
          <w:rFonts w:eastAsia="楷体_GB2312"/>
          <w:b/>
          <w:sz w:val="24"/>
        </w:rPr>
      </w:pPr>
      <w:bookmarkStart w:id="497" w:name="_Toc51258979"/>
      <w:bookmarkEnd w:id="497"/>
    </w:p>
    <w:p w14:paraId="31E68682">
      <w:pPr>
        <w:numPr>
          <w:ilvl w:val="2"/>
          <w:numId w:val="4"/>
        </w:numPr>
        <w:spacing w:line="380" w:lineRule="atLeast"/>
        <w:rPr>
          <w:rFonts w:eastAsia="楷体_GB2312"/>
          <w:b/>
          <w:sz w:val="24"/>
        </w:rPr>
      </w:pPr>
      <w:r>
        <w:rPr>
          <w:rFonts w:eastAsia="楷体_GB2312"/>
          <w:b/>
          <w:sz w:val="24"/>
        </w:rPr>
        <w:t>发送《受托人更换通知》</w:t>
      </w:r>
      <w:bookmarkStart w:id="498" w:name="_Toc51258980"/>
      <w:bookmarkEnd w:id="498"/>
    </w:p>
    <w:p w14:paraId="73C2E6D1">
      <w:pPr>
        <w:spacing w:line="380" w:lineRule="atLeast"/>
        <w:rPr>
          <w:rFonts w:eastAsia="楷体_GB2312"/>
          <w:b/>
          <w:sz w:val="24"/>
        </w:rPr>
      </w:pPr>
      <w:bookmarkStart w:id="499" w:name="_Toc51258981"/>
      <w:bookmarkEnd w:id="499"/>
    </w:p>
    <w:p w14:paraId="171DC59B">
      <w:pPr>
        <w:spacing w:line="380" w:lineRule="atLeast"/>
        <w:ind w:left="1680"/>
        <w:rPr>
          <w:rFonts w:eastAsia="楷体_GB2312"/>
          <w:sz w:val="24"/>
        </w:rPr>
      </w:pPr>
      <w:r>
        <w:rPr>
          <w:rFonts w:eastAsia="楷体_GB2312"/>
          <w:sz w:val="24"/>
        </w:rPr>
        <w:t>在新“受托人”人选确定之日，“资产支持证券持有人大会”向原“受托人”发送《受托人更换通知》，将新的“受托人”人选通知原“受托人”，并通知原“受托人”准备“信托财产”和信托事务的交接工作。</w:t>
      </w:r>
      <w:bookmarkStart w:id="500" w:name="_Toc51258982"/>
      <w:bookmarkEnd w:id="500"/>
    </w:p>
    <w:p w14:paraId="6C329184">
      <w:pPr>
        <w:spacing w:line="380" w:lineRule="atLeast"/>
        <w:rPr>
          <w:rFonts w:eastAsia="楷体_GB2312"/>
          <w:b/>
          <w:sz w:val="24"/>
        </w:rPr>
      </w:pPr>
      <w:bookmarkStart w:id="501" w:name="_Toc51258983"/>
      <w:bookmarkEnd w:id="501"/>
    </w:p>
    <w:p w14:paraId="6B05565C">
      <w:pPr>
        <w:numPr>
          <w:ilvl w:val="2"/>
          <w:numId w:val="4"/>
        </w:numPr>
        <w:spacing w:line="380" w:lineRule="atLeast"/>
        <w:rPr>
          <w:rFonts w:eastAsia="楷体_GB2312"/>
          <w:b/>
          <w:sz w:val="24"/>
        </w:rPr>
      </w:pPr>
      <w:r>
        <w:rPr>
          <w:rFonts w:eastAsia="楷体_GB2312"/>
          <w:b/>
          <w:sz w:val="24"/>
        </w:rPr>
        <w:t>交接信托财产和信托事务</w:t>
      </w:r>
      <w:bookmarkStart w:id="502" w:name="_Toc51258984"/>
      <w:bookmarkEnd w:id="502"/>
    </w:p>
    <w:p w14:paraId="46CEE65B">
      <w:pPr>
        <w:spacing w:line="380" w:lineRule="atLeast"/>
        <w:rPr>
          <w:rFonts w:eastAsia="楷体_GB2312"/>
          <w:b/>
          <w:sz w:val="24"/>
        </w:rPr>
      </w:pPr>
      <w:bookmarkStart w:id="503" w:name="_Toc51258985"/>
      <w:bookmarkEnd w:id="503"/>
    </w:p>
    <w:p w14:paraId="0A68104C">
      <w:pPr>
        <w:pStyle w:val="78"/>
        <w:numPr>
          <w:ilvl w:val="0"/>
          <w:numId w:val="25"/>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在原“受托人”收到《受托人更换通知》之日起【】日内，原“受托人”应编制“信托财产”和信托事务情况的报告，交付给新“受托人”。</w:t>
      </w:r>
      <w:bookmarkStart w:id="504" w:name="_Toc51258986"/>
      <w:bookmarkEnd w:id="504"/>
    </w:p>
    <w:p w14:paraId="5545E1EA">
      <w:pPr>
        <w:spacing w:line="380" w:lineRule="atLeast"/>
        <w:ind w:left="1800"/>
        <w:rPr>
          <w:rFonts w:eastAsia="楷体_GB2312"/>
          <w:sz w:val="24"/>
        </w:rPr>
      </w:pPr>
      <w:bookmarkStart w:id="505" w:name="_Toc51258987"/>
      <w:bookmarkEnd w:id="505"/>
    </w:p>
    <w:p w14:paraId="74F8B196">
      <w:pPr>
        <w:pStyle w:val="78"/>
        <w:numPr>
          <w:ilvl w:val="0"/>
          <w:numId w:val="25"/>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原“受托人”有义务配合新“受托人”完成“信托财产”和信托事务的交接工作，从而使新“受托人”尽快开始管理“信托财产”和信托事务。</w:t>
      </w:r>
      <w:bookmarkStart w:id="506" w:name="_Toc51258988"/>
      <w:bookmarkEnd w:id="506"/>
    </w:p>
    <w:p w14:paraId="03C1B0B2">
      <w:pPr>
        <w:spacing w:line="380" w:lineRule="atLeast"/>
        <w:ind w:left="1800"/>
        <w:rPr>
          <w:rFonts w:eastAsia="楷体_GB2312"/>
          <w:sz w:val="24"/>
        </w:rPr>
      </w:pPr>
      <w:bookmarkStart w:id="507" w:name="_Toc51258989"/>
      <w:bookmarkEnd w:id="507"/>
    </w:p>
    <w:p w14:paraId="38A4510A">
      <w:pPr>
        <w:pStyle w:val="78"/>
        <w:numPr>
          <w:ilvl w:val="0"/>
          <w:numId w:val="25"/>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在发生“受托人解任事件”第(d)、(e)项情形时，原“受托人”应配合“金融监管总局”或“中国法律”指定的国家监管机构指定“信托”的临时“受托人”，进行“信托财产”和信托事务的交接，从而使临时“受托人”可以尽快开始管理“信托财产”和信托事务。</w:t>
      </w:r>
      <w:bookmarkStart w:id="508" w:name="_Toc51258990"/>
      <w:bookmarkEnd w:id="508"/>
    </w:p>
    <w:p w14:paraId="12C5C533">
      <w:pPr>
        <w:tabs>
          <w:tab w:val="left" w:pos="2356"/>
        </w:tabs>
        <w:spacing w:line="380" w:lineRule="atLeast"/>
        <w:rPr>
          <w:rFonts w:eastAsia="楷体_GB2312"/>
          <w:sz w:val="24"/>
        </w:rPr>
      </w:pPr>
      <w:bookmarkStart w:id="509" w:name="_Toc51258991"/>
      <w:bookmarkEnd w:id="509"/>
    </w:p>
    <w:p w14:paraId="482B03D4">
      <w:pPr>
        <w:numPr>
          <w:ilvl w:val="1"/>
          <w:numId w:val="4"/>
        </w:numPr>
        <w:spacing w:line="380" w:lineRule="atLeast"/>
        <w:outlineLvl w:val="1"/>
        <w:rPr>
          <w:rFonts w:eastAsia="楷体_GB2312"/>
          <w:b/>
          <w:sz w:val="24"/>
        </w:rPr>
      </w:pPr>
      <w:bookmarkStart w:id="510" w:name="_Toc148440841"/>
      <w:bookmarkEnd w:id="510"/>
      <w:bookmarkStart w:id="511" w:name="_Toc148384254"/>
      <w:bookmarkEnd w:id="511"/>
      <w:bookmarkStart w:id="512" w:name="_Toc148440842"/>
      <w:bookmarkEnd w:id="512"/>
      <w:bookmarkStart w:id="513" w:name="_Toc148384255"/>
      <w:bookmarkEnd w:id="513"/>
      <w:r>
        <w:rPr>
          <w:rFonts w:eastAsia="楷体_GB2312"/>
          <w:b/>
          <w:sz w:val="24"/>
        </w:rPr>
        <w:t>受托人的持续管理义务</w:t>
      </w:r>
      <w:bookmarkStart w:id="514" w:name="_Toc51258992"/>
      <w:bookmarkEnd w:id="514"/>
    </w:p>
    <w:p w14:paraId="353EAEBD">
      <w:pPr>
        <w:spacing w:line="380" w:lineRule="atLeast"/>
        <w:rPr>
          <w:rFonts w:eastAsia="楷体_GB2312"/>
          <w:sz w:val="24"/>
        </w:rPr>
      </w:pPr>
      <w:bookmarkStart w:id="515" w:name="_Toc51258993"/>
      <w:bookmarkEnd w:id="515"/>
    </w:p>
    <w:p w14:paraId="40C25084">
      <w:pPr>
        <w:spacing w:line="380" w:lineRule="atLeast"/>
        <w:ind w:left="992"/>
        <w:rPr>
          <w:rFonts w:eastAsia="楷体_GB2312"/>
          <w:b/>
          <w:sz w:val="24"/>
        </w:rPr>
      </w:pPr>
      <w:r>
        <w:rPr>
          <w:rFonts w:eastAsia="楷体_GB2312"/>
          <w:sz w:val="24"/>
        </w:rPr>
        <w:t>除发生“受托人解任事件”第(d)、(e)项情形外，在新的“受托人”开始管理“信托财产”和信托事务前，原“受托人”仍应按本合同的规定履行管理信托事务的职责。</w:t>
      </w:r>
      <w:bookmarkStart w:id="516" w:name="_Toc51258994"/>
      <w:bookmarkEnd w:id="516"/>
    </w:p>
    <w:p w14:paraId="7997B935">
      <w:pPr>
        <w:spacing w:line="380" w:lineRule="atLeast"/>
        <w:ind w:left="992"/>
        <w:rPr>
          <w:rFonts w:eastAsia="楷体_GB2312"/>
          <w:sz w:val="24"/>
        </w:rPr>
      </w:pPr>
      <w:bookmarkStart w:id="517" w:name="_Toc51258995"/>
      <w:bookmarkEnd w:id="517"/>
    </w:p>
    <w:p w14:paraId="4CA91D9D">
      <w:pPr>
        <w:numPr>
          <w:ilvl w:val="0"/>
          <w:numId w:val="4"/>
        </w:numPr>
        <w:spacing w:line="380" w:lineRule="atLeast"/>
        <w:outlineLvl w:val="0"/>
        <w:rPr>
          <w:rFonts w:eastAsia="楷体_GB2312"/>
          <w:b/>
          <w:sz w:val="24"/>
        </w:rPr>
      </w:pPr>
      <w:bookmarkStart w:id="518" w:name="_Toc373951555"/>
      <w:bookmarkStart w:id="519" w:name="_Toc121814443"/>
      <w:bookmarkStart w:id="520" w:name="_Toc20552"/>
      <w:bookmarkStart w:id="521" w:name="_Ref51276922"/>
      <w:bookmarkStart w:id="522" w:name="_Ref495790830"/>
      <w:bookmarkStart w:id="523" w:name="_Ref482095896"/>
      <w:bookmarkStart w:id="524" w:name="_Ref482277718"/>
      <w:bookmarkStart w:id="525" w:name="_Toc51277224"/>
      <w:bookmarkStart w:id="526" w:name="_Ref51240826"/>
      <w:bookmarkStart w:id="527" w:name="_Ref422927114"/>
      <w:bookmarkStart w:id="528" w:name="_Hlk51967780"/>
      <w:r>
        <w:rPr>
          <w:rFonts w:eastAsia="楷体_GB2312"/>
          <w:b/>
          <w:sz w:val="24"/>
        </w:rPr>
        <w:t>清仓回购</w:t>
      </w:r>
      <w:bookmarkEnd w:id="518"/>
      <w:bookmarkEnd w:id="519"/>
      <w:bookmarkEnd w:id="520"/>
      <w:bookmarkEnd w:id="521"/>
      <w:bookmarkEnd w:id="522"/>
      <w:bookmarkEnd w:id="523"/>
      <w:bookmarkEnd w:id="524"/>
      <w:bookmarkEnd w:id="525"/>
      <w:bookmarkEnd w:id="526"/>
      <w:bookmarkEnd w:id="527"/>
    </w:p>
    <w:p w14:paraId="0EE1F784">
      <w:pPr>
        <w:pStyle w:val="39"/>
        <w:spacing w:after="0" w:line="380" w:lineRule="atLeast"/>
        <w:rPr>
          <w:rFonts w:eastAsia="楷体_GB2312"/>
          <w:lang w:eastAsia="zh-CN"/>
        </w:rPr>
      </w:pPr>
      <w:bookmarkStart w:id="529" w:name="_DV_M211"/>
      <w:bookmarkEnd w:id="529"/>
    </w:p>
    <w:p w14:paraId="0DE13083">
      <w:pPr>
        <w:numPr>
          <w:ilvl w:val="1"/>
          <w:numId w:val="4"/>
        </w:numPr>
        <w:spacing w:line="380" w:lineRule="atLeast"/>
        <w:rPr>
          <w:rFonts w:eastAsia="楷体_GB2312"/>
          <w:sz w:val="24"/>
        </w:rPr>
      </w:pPr>
      <w:r>
        <w:rPr>
          <w:rFonts w:eastAsia="楷体_GB2312"/>
          <w:sz w:val="24"/>
        </w:rPr>
        <w:t>“清仓回购”是“委托人”的一项选择权。在满足本合同第</w:t>
      </w:r>
      <w:r>
        <w:rPr>
          <w:rFonts w:eastAsia="楷体_GB2312"/>
          <w:sz w:val="24"/>
        </w:rPr>
        <w:fldChar w:fldCharType="begin"/>
      </w:r>
      <w:r>
        <w:rPr>
          <w:rFonts w:eastAsia="楷体_GB2312"/>
          <w:sz w:val="24"/>
        </w:rPr>
        <w:instrText xml:space="preserve"> REF _Ref150858310 \r \h  \* MERGEFORMAT </w:instrText>
      </w:r>
      <w:r>
        <w:rPr>
          <w:rFonts w:eastAsia="楷体_GB2312"/>
          <w:sz w:val="24"/>
        </w:rPr>
        <w:fldChar w:fldCharType="separate"/>
      </w:r>
      <w:r>
        <w:rPr>
          <w:rFonts w:eastAsia="楷体_GB2312"/>
          <w:sz w:val="24"/>
        </w:rPr>
        <w:t>14.2</w:t>
      </w:r>
      <w:r>
        <w:rPr>
          <w:rFonts w:eastAsia="楷体_GB2312"/>
          <w:sz w:val="24"/>
        </w:rPr>
        <w:fldChar w:fldCharType="end"/>
      </w:r>
      <w:r>
        <w:rPr>
          <w:rFonts w:eastAsia="楷体_GB2312"/>
          <w:sz w:val="24"/>
        </w:rPr>
        <w:t>款约定的条件的情况下，“委托人”可以按照公允市场价值进行“清仓回购”。</w:t>
      </w:r>
    </w:p>
    <w:p w14:paraId="130ED5DA">
      <w:pPr>
        <w:spacing w:line="380" w:lineRule="atLeast"/>
        <w:rPr>
          <w:rFonts w:eastAsia="楷体_GB2312"/>
          <w:sz w:val="24"/>
        </w:rPr>
      </w:pPr>
    </w:p>
    <w:p w14:paraId="3B2ED1E1">
      <w:pPr>
        <w:numPr>
          <w:ilvl w:val="1"/>
          <w:numId w:val="4"/>
        </w:numPr>
        <w:spacing w:line="380" w:lineRule="atLeast"/>
        <w:rPr>
          <w:rFonts w:eastAsia="楷体_GB2312"/>
          <w:sz w:val="24"/>
        </w:rPr>
      </w:pPr>
      <w:bookmarkStart w:id="530" w:name="_Ref150858310"/>
      <w:r>
        <w:rPr>
          <w:rFonts w:eastAsia="楷体_GB2312"/>
          <w:sz w:val="24"/>
        </w:rPr>
        <w:t>“委托人”进行“清仓回购”应满足下列条件：</w:t>
      </w:r>
      <w:bookmarkEnd w:id="530"/>
    </w:p>
    <w:p w14:paraId="0E367BBC">
      <w:pPr>
        <w:spacing w:line="380" w:lineRule="atLeast"/>
        <w:rPr>
          <w:rFonts w:eastAsia="楷体_GB2312"/>
          <w:sz w:val="24"/>
        </w:rPr>
      </w:pPr>
    </w:p>
    <w:p w14:paraId="5B358A5A">
      <w:pPr>
        <w:numPr>
          <w:ilvl w:val="2"/>
          <w:numId w:val="4"/>
        </w:numPr>
        <w:tabs>
          <w:tab w:val="left" w:pos="900"/>
        </w:tabs>
        <w:spacing w:line="380" w:lineRule="atLeast"/>
        <w:ind w:left="1620" w:hanging="769"/>
        <w:rPr>
          <w:rFonts w:eastAsia="楷体_GB2312"/>
          <w:sz w:val="24"/>
        </w:rPr>
      </w:pPr>
      <w:r>
        <w:rPr>
          <w:rFonts w:eastAsia="楷体_GB2312"/>
          <w:sz w:val="24"/>
        </w:rPr>
        <w:t>“信贷资产”的“未偿</w:t>
      </w:r>
      <w:r>
        <w:rPr>
          <w:rFonts w:hint="eastAsia" w:eastAsia="楷体_GB2312"/>
          <w:sz w:val="24"/>
        </w:rPr>
        <w:t>资产池</w:t>
      </w:r>
      <w:r>
        <w:rPr>
          <w:rFonts w:eastAsia="楷体_GB2312"/>
          <w:sz w:val="24"/>
        </w:rPr>
        <w:t>余额”总和在“回购起算日”【</w:t>
      </w:r>
      <w:r>
        <w:rPr>
          <w:rFonts w:eastAsia="楷体_GB2312"/>
          <w:bCs/>
          <w:i/>
          <w:iCs/>
          <w:sz w:val="24"/>
        </w:rPr>
        <w:t>具体时点</w:t>
      </w:r>
      <w:r>
        <w:rPr>
          <w:rFonts w:eastAsia="楷体_GB2312"/>
          <w:sz w:val="24"/>
        </w:rPr>
        <w:t>】降至“初始起算日资产池余额”的【10】％或以下，或者“资产支持证券”的“未偿本金余额”总和在“委托人”向“受托人”发出《清仓回购通知书》当日或之前降至“资产支持证券”初始发行额的【10】%或以下；并且</w:t>
      </w:r>
    </w:p>
    <w:p w14:paraId="30097B3C">
      <w:pPr>
        <w:spacing w:line="380" w:lineRule="atLeast"/>
        <w:ind w:left="851"/>
        <w:rPr>
          <w:rFonts w:eastAsia="楷体_GB2312"/>
          <w:sz w:val="24"/>
        </w:rPr>
      </w:pPr>
    </w:p>
    <w:p w14:paraId="76C96CC8">
      <w:pPr>
        <w:numPr>
          <w:ilvl w:val="2"/>
          <w:numId w:val="4"/>
        </w:numPr>
        <w:tabs>
          <w:tab w:val="left" w:pos="900"/>
        </w:tabs>
        <w:spacing w:line="380" w:lineRule="atLeast"/>
        <w:ind w:left="1620" w:hanging="769"/>
        <w:rPr>
          <w:rFonts w:eastAsia="楷体_GB2312"/>
          <w:sz w:val="24"/>
        </w:rPr>
      </w:pPr>
      <w:r>
        <w:rPr>
          <w:rFonts w:eastAsia="楷体_GB2312"/>
          <w:sz w:val="24"/>
        </w:rPr>
        <w:t>截至“回购起算日”【</w:t>
      </w:r>
      <w:r>
        <w:rPr>
          <w:rFonts w:eastAsia="楷体_GB2312"/>
          <w:bCs/>
          <w:i/>
          <w:iCs/>
          <w:sz w:val="24"/>
        </w:rPr>
        <w:t>具体时点</w:t>
      </w:r>
      <w:r>
        <w:rPr>
          <w:rFonts w:eastAsia="楷体_GB2312"/>
          <w:sz w:val="24"/>
        </w:rPr>
        <w:t>】，剩余“信贷资产”的公允市场价值不少于A+B之和。A指在“委托人”发出《清仓回购通知书》所在“收款期间”届满后第一个“支付日”前一日全部“优先级资产支持证券”的“未偿本金余额”以及已产生但未支付的“优先级资产支持证券”的利息和“信托”应付的税收、服务报酬和实际支出之和。B为下列（1）和（2）两者之间数值较高者，其中（1）的数值为0；（2）的数值为“委托人”发出《清仓回购通知书》所在“收款期间”届满后第一个“支付日”前一日“次级资产支持证券”的“未偿本金余额”减去截至“回购起算日”【</w:t>
      </w:r>
      <w:r>
        <w:rPr>
          <w:rFonts w:eastAsia="楷体_GB2312"/>
          <w:bCs/>
          <w:i/>
          <w:iCs/>
          <w:sz w:val="24"/>
        </w:rPr>
        <w:t>具体时点</w:t>
      </w:r>
      <w:r>
        <w:rPr>
          <w:rFonts w:eastAsia="楷体_GB2312"/>
          <w:sz w:val="24"/>
        </w:rPr>
        <w:t>】“累计净损失”的差值。</w:t>
      </w:r>
    </w:p>
    <w:p w14:paraId="285F3982">
      <w:pPr>
        <w:spacing w:line="360" w:lineRule="auto"/>
        <w:ind w:left="1418" w:leftChars="709"/>
        <w:rPr>
          <w:rFonts w:eastAsia="楷体_GB2312"/>
          <w:b/>
          <w:bCs/>
          <w:i/>
          <w:iCs/>
          <w:color w:val="FF0000"/>
          <w:kern w:val="2"/>
          <w:sz w:val="24"/>
          <w:szCs w:val="24"/>
        </w:rPr>
      </w:pPr>
      <w:r>
        <w:rPr>
          <w:rFonts w:eastAsia="楷体_GB2312"/>
          <w:b/>
          <w:bCs/>
          <w:i/>
          <w:iCs/>
          <w:color w:val="FF0000"/>
          <w:kern w:val="2"/>
          <w:sz w:val="24"/>
          <w:szCs w:val="24"/>
        </w:rPr>
        <w:t>【注：</w:t>
      </w:r>
      <w:r>
        <w:rPr>
          <w:rFonts w:eastAsia="楷体_GB2312"/>
          <w:b/>
          <w:bCs/>
          <w:i/>
          <w:iCs/>
          <w:color w:val="FF0000"/>
          <w:sz w:val="24"/>
        </w:rPr>
        <w:t>清仓回购具体条件包括资产池公允价值的确定方式根据具体项目情况及监管要求选择适用或进行调整。</w:t>
      </w:r>
      <w:r>
        <w:rPr>
          <w:rFonts w:eastAsia="楷体_GB2312"/>
          <w:b/>
          <w:bCs/>
          <w:i/>
          <w:iCs/>
          <w:color w:val="FF0000"/>
          <w:kern w:val="2"/>
          <w:sz w:val="24"/>
          <w:szCs w:val="24"/>
        </w:rPr>
        <w:t>】</w:t>
      </w:r>
    </w:p>
    <w:p w14:paraId="682DE5A6">
      <w:pPr>
        <w:spacing w:line="380" w:lineRule="atLeast"/>
        <w:ind w:left="851"/>
        <w:rPr>
          <w:rFonts w:eastAsia="楷体_GB2312"/>
          <w:sz w:val="24"/>
        </w:rPr>
      </w:pPr>
    </w:p>
    <w:p w14:paraId="43CFFEB3">
      <w:pPr>
        <w:numPr>
          <w:ilvl w:val="1"/>
          <w:numId w:val="4"/>
        </w:numPr>
        <w:spacing w:line="380" w:lineRule="atLeast"/>
        <w:rPr>
          <w:rFonts w:eastAsia="楷体_GB2312"/>
          <w:sz w:val="24"/>
        </w:rPr>
      </w:pPr>
      <w:r>
        <w:rPr>
          <w:rFonts w:eastAsia="楷体_GB2312"/>
          <w:sz w:val="24"/>
        </w:rPr>
        <w:t>“委托人”决定进行“清仓回购”的，应于作出决定的“收款期间”（以下简称“相关收款期间”）之最后一日的前【】个“工作日”之前（或“受托人”和“委托人”同意的更晚日期），向“受托人”发出关于“清仓回购”“信托财产”的书面通知（该通知应视为对“受托人”的要约邀请，格式可参考本合同</w:t>
      </w:r>
      <w:r>
        <w:rPr>
          <w:rFonts w:eastAsia="楷体_GB2312"/>
          <w:i/>
          <w:iCs/>
          <w:sz w:val="24"/>
        </w:rPr>
        <w:t>【</w:t>
      </w:r>
      <w:r>
        <w:rPr>
          <w:rFonts w:eastAsia="楷体_GB2312"/>
          <w:b/>
          <w:i/>
          <w:sz w:val="24"/>
        </w:rPr>
        <w:t>附件六】</w:t>
      </w:r>
      <w:r>
        <w:rPr>
          <w:rFonts w:eastAsia="楷体_GB2312"/>
          <w:sz w:val="24"/>
        </w:rPr>
        <w:t>）。</w:t>
      </w:r>
    </w:p>
    <w:p w14:paraId="1D6AFA5D">
      <w:pPr>
        <w:spacing w:line="380" w:lineRule="atLeast"/>
        <w:ind w:left="425"/>
        <w:rPr>
          <w:rFonts w:eastAsia="楷体_GB2312"/>
          <w:sz w:val="24"/>
        </w:rPr>
      </w:pPr>
    </w:p>
    <w:p w14:paraId="2C137364">
      <w:pPr>
        <w:numPr>
          <w:ilvl w:val="1"/>
          <w:numId w:val="4"/>
        </w:numPr>
        <w:spacing w:line="380" w:lineRule="atLeast"/>
        <w:rPr>
          <w:rFonts w:eastAsia="楷体_GB2312"/>
          <w:sz w:val="24"/>
        </w:rPr>
      </w:pPr>
      <w:bookmarkStart w:id="531" w:name="_Ref146342905"/>
      <w:r>
        <w:rPr>
          <w:rFonts w:eastAsia="楷体_GB2312"/>
          <w:sz w:val="24"/>
        </w:rPr>
        <w:t>收到“委托人”的通知后，“受托人”应不迟于“相关收款期间”之最后一日的前【】个“工作日”之前（或“受托人”和“委托人”同意的更晚日期），向“委托人”发出书面要约（格式可参考本合同</w:t>
      </w:r>
      <w:r>
        <w:rPr>
          <w:rFonts w:eastAsia="楷体_GB2312"/>
          <w:i/>
          <w:iCs/>
          <w:sz w:val="24"/>
        </w:rPr>
        <w:t>【</w:t>
      </w:r>
      <w:r>
        <w:rPr>
          <w:rFonts w:eastAsia="楷体_GB2312"/>
          <w:b/>
          <w:i/>
          <w:sz w:val="24"/>
        </w:rPr>
        <w:t>附件七】</w:t>
      </w:r>
      <w:r>
        <w:rPr>
          <w:rFonts w:eastAsia="楷体_GB2312"/>
          <w:sz w:val="24"/>
        </w:rPr>
        <w:t>）。书面要约中应记载“清仓回购价格”，“受托人”届时</w:t>
      </w:r>
      <w:r>
        <w:rPr>
          <w:rFonts w:hint="eastAsia" w:eastAsia="楷体_GB2312"/>
          <w:sz w:val="24"/>
        </w:rPr>
        <w:t>应当</w:t>
      </w:r>
      <w:r>
        <w:rPr>
          <w:rFonts w:eastAsia="楷体_GB2312"/>
          <w:sz w:val="24"/>
        </w:rPr>
        <w:t>聘请评估机构、评级机构等第三方专业机构对剩余“资产池”进行评估/估值，并以其出具的专业报告中的评估价值或债权价值作为“资产池”的公允价值和“清仓回购价格”，由此发生的费用由“信托财产”承担。</w:t>
      </w:r>
      <w:r>
        <w:rPr>
          <w:rFonts w:eastAsia="楷体_GB2312"/>
          <w:color w:val="000000"/>
          <w:sz w:val="24"/>
        </w:rPr>
        <w:t>“受托人”</w:t>
      </w:r>
      <w:r>
        <w:rPr>
          <w:rFonts w:hint="eastAsia" w:eastAsia="楷体_GB2312"/>
          <w:color w:val="000000"/>
          <w:sz w:val="24"/>
        </w:rPr>
        <w:t>应将前述拟定的</w:t>
      </w:r>
      <w:r>
        <w:rPr>
          <w:rFonts w:eastAsia="楷体_GB2312"/>
          <w:color w:val="000000"/>
          <w:sz w:val="24"/>
        </w:rPr>
        <w:t>“清仓回购价格”以书面形式通知全体“资产支持证券持有人”。</w:t>
      </w:r>
      <w:r>
        <w:rPr>
          <w:rFonts w:hint="eastAsia" w:eastAsia="楷体_GB2312"/>
          <w:color w:val="000000"/>
          <w:sz w:val="24"/>
        </w:rPr>
        <w:t>如</w:t>
      </w:r>
      <w:r>
        <w:rPr>
          <w:rFonts w:eastAsia="楷体_GB2312"/>
          <w:color w:val="000000"/>
          <w:sz w:val="24"/>
        </w:rPr>
        <w:t>“资产支持证券持有人”</w:t>
      </w:r>
      <w:r>
        <w:rPr>
          <w:rFonts w:hint="eastAsia" w:eastAsia="楷体_GB2312"/>
          <w:color w:val="000000"/>
          <w:sz w:val="24"/>
        </w:rPr>
        <w:t>对前述拟定的</w:t>
      </w:r>
      <w:r>
        <w:rPr>
          <w:rFonts w:eastAsia="楷体_GB2312"/>
          <w:color w:val="000000"/>
          <w:sz w:val="24"/>
        </w:rPr>
        <w:t>“清仓回购价格”</w:t>
      </w:r>
      <w:r>
        <w:rPr>
          <w:rFonts w:hint="eastAsia" w:eastAsia="楷体_GB2312"/>
          <w:color w:val="000000"/>
          <w:sz w:val="24"/>
        </w:rPr>
        <w:t>有异议，</w:t>
      </w:r>
      <w:r>
        <w:rPr>
          <w:rFonts w:eastAsia="楷体_GB2312"/>
          <w:color w:val="000000"/>
          <w:sz w:val="24"/>
        </w:rPr>
        <w:t>在收到“受托人”</w:t>
      </w:r>
      <w:r>
        <w:rPr>
          <w:rFonts w:hint="eastAsia" w:eastAsia="楷体_GB2312"/>
          <w:color w:val="000000"/>
          <w:sz w:val="24"/>
        </w:rPr>
        <w:t>书面</w:t>
      </w:r>
      <w:r>
        <w:rPr>
          <w:rFonts w:eastAsia="楷体_GB2312"/>
          <w:color w:val="000000"/>
          <w:sz w:val="24"/>
        </w:rPr>
        <w:t>通知后【】个“工作日”内，可以</w:t>
      </w:r>
      <w:r>
        <w:rPr>
          <w:rFonts w:hint="eastAsia" w:eastAsia="楷体_GB2312"/>
          <w:color w:val="000000"/>
          <w:sz w:val="24"/>
        </w:rPr>
        <w:t>根据</w:t>
      </w:r>
      <w:r>
        <w:rPr>
          <w:rFonts w:eastAsia="楷体_GB2312"/>
          <w:color w:val="000000"/>
          <w:w w:val="0"/>
          <w:sz w:val="24"/>
        </w:rPr>
        <w:t>“《信托合同》”</w:t>
      </w:r>
      <w:r>
        <w:rPr>
          <w:rFonts w:hint="eastAsia" w:eastAsia="楷体_GB2312"/>
          <w:color w:val="000000"/>
          <w:sz w:val="24"/>
        </w:rPr>
        <w:t>的相关约定</w:t>
      </w:r>
      <w:r>
        <w:rPr>
          <w:rFonts w:eastAsia="楷体_GB2312"/>
          <w:color w:val="000000"/>
          <w:sz w:val="24"/>
        </w:rPr>
        <w:t>请求“受托人”召集“资产支持证券持有人大会”</w:t>
      </w:r>
      <w:r>
        <w:rPr>
          <w:rFonts w:hint="eastAsia" w:eastAsia="楷体_GB2312"/>
          <w:color w:val="000000"/>
          <w:sz w:val="24"/>
        </w:rPr>
        <w:t>。</w:t>
      </w:r>
      <w:r>
        <w:rPr>
          <w:rFonts w:eastAsia="楷体_GB2312"/>
          <w:sz w:val="24"/>
        </w:rPr>
        <w:t>书面要约中</w:t>
      </w:r>
      <w:r>
        <w:rPr>
          <w:rFonts w:hint="eastAsia" w:eastAsia="楷体_GB2312"/>
          <w:sz w:val="24"/>
        </w:rPr>
        <w:t>应</w:t>
      </w:r>
      <w:r>
        <w:rPr>
          <w:rFonts w:eastAsia="楷体_GB2312"/>
          <w:sz w:val="24"/>
        </w:rPr>
        <w:t>约定在“委托人”承诺后，“受托人”将自“回购起算日”【</w:t>
      </w:r>
      <w:r>
        <w:rPr>
          <w:rFonts w:eastAsia="楷体_GB2312"/>
          <w:bCs/>
          <w:i/>
          <w:iCs/>
          <w:sz w:val="24"/>
        </w:rPr>
        <w:t>具体时点</w:t>
      </w:r>
      <w:r>
        <w:rPr>
          <w:rFonts w:eastAsia="楷体_GB2312"/>
          <w:sz w:val="24"/>
        </w:rPr>
        <w:t>】起“信托”项下的全部“信贷资产”出售给“委托人”。</w:t>
      </w:r>
      <w:bookmarkEnd w:id="531"/>
    </w:p>
    <w:p w14:paraId="013E8040">
      <w:pPr>
        <w:spacing w:line="360" w:lineRule="auto"/>
        <w:ind w:left="851"/>
        <w:rPr>
          <w:rFonts w:eastAsia="楷体_GB2312"/>
          <w:b/>
          <w:bCs/>
          <w:i/>
          <w:iCs/>
          <w:color w:val="FF0000"/>
          <w:kern w:val="2"/>
          <w:sz w:val="24"/>
          <w:szCs w:val="24"/>
        </w:rPr>
      </w:pPr>
      <w:r>
        <w:rPr>
          <w:rFonts w:eastAsia="楷体_GB2312"/>
          <w:b/>
          <w:bCs/>
          <w:i/>
          <w:iCs/>
          <w:color w:val="FF0000"/>
          <w:kern w:val="2"/>
          <w:sz w:val="24"/>
          <w:szCs w:val="24"/>
        </w:rPr>
        <w:t>【注：</w:t>
      </w:r>
      <w:r>
        <w:rPr>
          <w:rFonts w:hint="eastAsia" w:eastAsia="楷体_GB2312"/>
          <w:b/>
          <w:bCs/>
          <w:i/>
          <w:iCs/>
          <w:color w:val="FF0000"/>
          <w:kern w:val="2"/>
          <w:sz w:val="24"/>
          <w:szCs w:val="24"/>
        </w:rPr>
        <w:t>（1）</w:t>
      </w:r>
      <w:r>
        <w:rPr>
          <w:rFonts w:hint="eastAsia" w:eastAsia="楷体_GB2312"/>
          <w:b/>
          <w:bCs/>
          <w:i/>
          <w:iCs/>
          <w:color w:val="FF0000"/>
          <w:sz w:val="24"/>
        </w:rPr>
        <w:t>鼓励按上述方式确定并执行清仓回购价格。</w:t>
      </w:r>
      <w:r>
        <w:rPr>
          <w:rFonts w:hint="eastAsia" w:eastAsia="楷体_GB2312"/>
          <w:b/>
          <w:bCs/>
          <w:i/>
          <w:iCs/>
          <w:color w:val="FF0000"/>
          <w:kern w:val="2"/>
          <w:sz w:val="24"/>
          <w:szCs w:val="24"/>
        </w:rPr>
        <w:t>（2）</w:t>
      </w:r>
      <w:r>
        <w:rPr>
          <w:rFonts w:hint="eastAsia" w:eastAsia="楷体_GB2312"/>
          <w:b/>
          <w:bCs/>
          <w:i/>
          <w:iCs/>
          <w:color w:val="FF0000"/>
          <w:sz w:val="24"/>
        </w:rPr>
        <w:t>清仓回购价格应注意参考公允价值予以确定</w:t>
      </w:r>
      <w:r>
        <w:rPr>
          <w:rFonts w:eastAsia="楷体_GB2312"/>
          <w:b/>
          <w:bCs/>
          <w:i/>
          <w:iCs/>
          <w:color w:val="FF0000"/>
          <w:sz w:val="24"/>
        </w:rPr>
        <w:t>。</w:t>
      </w:r>
      <w:r>
        <w:rPr>
          <w:rFonts w:hint="eastAsia" w:eastAsia="楷体_GB2312"/>
          <w:b/>
          <w:bCs/>
          <w:i/>
          <w:iCs/>
          <w:color w:val="FF0000"/>
          <w:sz w:val="24"/>
        </w:rPr>
        <w:t>如</w:t>
      </w:r>
      <w:r>
        <w:rPr>
          <w:rFonts w:eastAsia="楷体_GB2312"/>
          <w:b/>
          <w:bCs/>
          <w:i/>
          <w:iCs/>
          <w:color w:val="FF0000"/>
          <w:sz w:val="24"/>
        </w:rPr>
        <w:t>资产支持证券持有人</w:t>
      </w:r>
      <w:r>
        <w:rPr>
          <w:rFonts w:hint="eastAsia" w:eastAsia="楷体_GB2312"/>
          <w:b/>
          <w:bCs/>
          <w:i/>
          <w:iCs/>
          <w:color w:val="FF0000"/>
          <w:sz w:val="24"/>
        </w:rPr>
        <w:t>有异议，在</w:t>
      </w:r>
      <w:r>
        <w:rPr>
          <w:rFonts w:eastAsia="楷体_GB2312"/>
          <w:b/>
          <w:bCs/>
          <w:i/>
          <w:iCs/>
          <w:color w:val="FF0000"/>
          <w:sz w:val="24"/>
        </w:rPr>
        <w:t>收到受托人</w:t>
      </w:r>
      <w:r>
        <w:rPr>
          <w:rFonts w:hint="eastAsia" w:eastAsia="楷体_GB2312"/>
          <w:b/>
          <w:bCs/>
          <w:i/>
          <w:iCs/>
          <w:color w:val="FF0000"/>
          <w:sz w:val="24"/>
        </w:rPr>
        <w:t>书面</w:t>
      </w:r>
      <w:r>
        <w:rPr>
          <w:rFonts w:eastAsia="楷体_GB2312"/>
          <w:b/>
          <w:bCs/>
          <w:i/>
          <w:iCs/>
          <w:color w:val="FF0000"/>
          <w:sz w:val="24"/>
        </w:rPr>
        <w:t>通知后，可以</w:t>
      </w:r>
      <w:r>
        <w:rPr>
          <w:rFonts w:hint="eastAsia" w:eastAsia="楷体_GB2312"/>
          <w:b/>
          <w:bCs/>
          <w:i/>
          <w:iCs/>
          <w:color w:val="FF0000"/>
          <w:sz w:val="24"/>
        </w:rPr>
        <w:t>在约定时间内，根据</w:t>
      </w:r>
      <w:r>
        <w:rPr>
          <w:rFonts w:eastAsia="楷体_GB2312"/>
          <w:b/>
          <w:bCs/>
          <w:i/>
          <w:iCs/>
          <w:color w:val="FF0000"/>
          <w:sz w:val="24"/>
        </w:rPr>
        <w:t>《信托合同》</w:t>
      </w:r>
      <w:r>
        <w:rPr>
          <w:rFonts w:hint="eastAsia" w:eastAsia="楷体_GB2312"/>
          <w:b/>
          <w:bCs/>
          <w:i/>
          <w:iCs/>
          <w:color w:val="FF0000"/>
          <w:sz w:val="24"/>
        </w:rPr>
        <w:t>第18.2.3款</w:t>
      </w:r>
      <w:r>
        <w:rPr>
          <w:rFonts w:eastAsia="楷体_GB2312"/>
          <w:b/>
          <w:bCs/>
          <w:i/>
          <w:iCs/>
          <w:color w:val="FF0000"/>
          <w:sz w:val="24"/>
        </w:rPr>
        <w:t>请求受托人召集资产支持证券持有人大会</w:t>
      </w:r>
      <w:r>
        <w:rPr>
          <w:rFonts w:hint="eastAsia" w:eastAsia="楷体_GB2312"/>
          <w:b/>
          <w:bCs/>
          <w:i/>
          <w:iCs/>
          <w:color w:val="FF0000"/>
          <w:sz w:val="24"/>
        </w:rPr>
        <w:t>，届时将</w:t>
      </w:r>
      <w:r>
        <w:rPr>
          <w:rFonts w:eastAsia="楷体_GB2312"/>
          <w:b/>
          <w:bCs/>
          <w:i/>
          <w:iCs/>
          <w:color w:val="FF0000"/>
          <w:sz w:val="24"/>
        </w:rPr>
        <w:t>由资产支持证券持有人大会就清仓回购价格作出决议，并</w:t>
      </w:r>
      <w:r>
        <w:rPr>
          <w:rFonts w:hint="eastAsia" w:eastAsia="楷体_GB2312"/>
          <w:b/>
          <w:bCs/>
          <w:i/>
          <w:iCs/>
          <w:color w:val="FF0000"/>
          <w:sz w:val="24"/>
        </w:rPr>
        <w:t>将</w:t>
      </w:r>
      <w:r>
        <w:rPr>
          <w:rFonts w:eastAsia="楷体_GB2312"/>
          <w:b/>
          <w:bCs/>
          <w:i/>
          <w:iCs/>
          <w:color w:val="FF0000"/>
          <w:sz w:val="24"/>
        </w:rPr>
        <w:t>表决结果</w:t>
      </w:r>
      <w:r>
        <w:rPr>
          <w:rFonts w:hint="eastAsia" w:eastAsia="楷体_GB2312"/>
          <w:b/>
          <w:bCs/>
          <w:i/>
          <w:iCs/>
          <w:color w:val="FF0000"/>
          <w:sz w:val="24"/>
        </w:rPr>
        <w:t>作为最终的</w:t>
      </w:r>
      <w:r>
        <w:rPr>
          <w:rFonts w:eastAsia="楷体_GB2312"/>
          <w:b/>
          <w:bCs/>
          <w:i/>
          <w:iCs/>
          <w:color w:val="FF0000"/>
          <w:sz w:val="24"/>
        </w:rPr>
        <w:t>清仓回购价格</w:t>
      </w:r>
      <w:r>
        <w:rPr>
          <w:rFonts w:hint="eastAsia" w:eastAsia="楷体_GB2312"/>
          <w:b/>
          <w:bCs/>
          <w:i/>
          <w:iCs/>
          <w:color w:val="FF0000"/>
          <w:sz w:val="24"/>
        </w:rPr>
        <w:t>。</w:t>
      </w:r>
      <w:r>
        <w:rPr>
          <w:rFonts w:eastAsia="楷体_GB2312"/>
          <w:b/>
          <w:bCs/>
          <w:i/>
          <w:iCs/>
          <w:color w:val="FF0000"/>
          <w:kern w:val="2"/>
          <w:sz w:val="24"/>
          <w:szCs w:val="24"/>
        </w:rPr>
        <w:t>】</w:t>
      </w:r>
    </w:p>
    <w:p w14:paraId="55CABE36">
      <w:pPr>
        <w:tabs>
          <w:tab w:val="left" w:pos="1800"/>
        </w:tabs>
        <w:spacing w:line="380" w:lineRule="atLeast"/>
        <w:rPr>
          <w:rFonts w:eastAsia="楷体_GB2312"/>
          <w:sz w:val="24"/>
        </w:rPr>
      </w:pPr>
    </w:p>
    <w:p w14:paraId="5DF008D7">
      <w:pPr>
        <w:numPr>
          <w:ilvl w:val="1"/>
          <w:numId w:val="4"/>
        </w:numPr>
        <w:spacing w:line="380" w:lineRule="atLeast"/>
        <w:rPr>
          <w:rFonts w:eastAsia="楷体_GB2312"/>
          <w:sz w:val="24"/>
        </w:rPr>
      </w:pPr>
      <w:bookmarkStart w:id="532" w:name="_DV_M212"/>
      <w:bookmarkEnd w:id="532"/>
      <w:r>
        <w:rPr>
          <w:rFonts w:eastAsia="楷体_GB2312"/>
          <w:sz w:val="24"/>
        </w:rPr>
        <w:t>如果“委托人”同意接受上述第</w:t>
      </w:r>
      <w:r>
        <w:rPr>
          <w:rFonts w:eastAsia="楷体_GB2312"/>
        </w:rPr>
        <w:fldChar w:fldCharType="begin"/>
      </w:r>
      <w:r>
        <w:rPr>
          <w:rFonts w:eastAsia="楷体_GB2312"/>
        </w:rPr>
        <w:instrText xml:space="preserve"> REF _Ref146342905 \r \h  \* MERGEFORMAT </w:instrText>
      </w:r>
      <w:r>
        <w:rPr>
          <w:rFonts w:eastAsia="楷体_GB2312"/>
        </w:rPr>
        <w:fldChar w:fldCharType="separate"/>
      </w:r>
      <w:r>
        <w:rPr>
          <w:rFonts w:eastAsia="楷体_GB2312"/>
          <w:sz w:val="24"/>
        </w:rPr>
        <w:t>14.4</w:t>
      </w:r>
      <w:r>
        <w:rPr>
          <w:rFonts w:eastAsia="楷体_GB2312"/>
        </w:rPr>
        <w:fldChar w:fldCharType="end"/>
      </w:r>
      <w:r>
        <w:rPr>
          <w:rFonts w:eastAsia="楷体_GB2312"/>
          <w:sz w:val="24"/>
        </w:rPr>
        <w:t>款项下的要约，则应在收到该要约通知后【】个“工作日”内（或“受托人”和“委托人”同意的更晚日期），向“受托人”书面发出不可撤销的承诺通知（格式可参考本合同</w:t>
      </w:r>
      <w:r>
        <w:rPr>
          <w:rFonts w:eastAsia="楷体_GB2312"/>
          <w:i/>
          <w:iCs/>
          <w:sz w:val="24"/>
        </w:rPr>
        <w:t>【</w:t>
      </w:r>
      <w:r>
        <w:rPr>
          <w:rFonts w:eastAsia="楷体_GB2312"/>
          <w:b/>
          <w:i/>
          <w:sz w:val="24"/>
        </w:rPr>
        <w:t>附件八】</w:t>
      </w:r>
      <w:r>
        <w:rPr>
          <w:rFonts w:eastAsia="楷体_GB2312"/>
          <w:sz w:val="24"/>
        </w:rPr>
        <w:t>）。在“委托人”于“受托人”发送的书面要约所载明的期限内向“受托人”支付相当于“清仓回购价格”的资金后，“信托财产”的“清仓回购”即告完成。如“清仓回购价格”为零，则“受托人”收到“委托人”发出的清仓回购承诺通知书之日视为“委托人”支付完毕相当于“清仓回购价格”的资金之日。</w:t>
      </w:r>
    </w:p>
    <w:p w14:paraId="5C9002A2">
      <w:pPr>
        <w:spacing w:line="380" w:lineRule="atLeast"/>
        <w:rPr>
          <w:rFonts w:eastAsia="楷体_GB2312"/>
          <w:sz w:val="24"/>
        </w:rPr>
      </w:pPr>
    </w:p>
    <w:p w14:paraId="1BC1FB96">
      <w:pPr>
        <w:numPr>
          <w:ilvl w:val="1"/>
          <w:numId w:val="4"/>
        </w:numPr>
        <w:spacing w:line="380" w:lineRule="atLeast"/>
        <w:rPr>
          <w:rFonts w:eastAsia="楷体_GB2312"/>
          <w:sz w:val="24"/>
        </w:rPr>
      </w:pPr>
      <w:r>
        <w:rPr>
          <w:rFonts w:eastAsia="楷体_GB2312"/>
          <w:sz w:val="24"/>
        </w:rPr>
        <w:t>在收到“委托人”支付的相当于“清仓回购价格”的资金（如有）后，“受托人”应指令“资金保管机构”</w:t>
      </w:r>
      <w:r>
        <w:rPr>
          <w:rFonts w:eastAsia="楷体_GB2312"/>
          <w:color w:val="000000"/>
          <w:sz w:val="24"/>
        </w:rPr>
        <w:t>将</w:t>
      </w:r>
      <w:r>
        <w:rPr>
          <w:rFonts w:eastAsia="楷体_GB2312"/>
          <w:sz w:val="24"/>
        </w:rPr>
        <w:t>收到的“清仓回购价格”</w:t>
      </w:r>
      <w:r>
        <w:rPr>
          <w:rFonts w:eastAsia="楷体_GB2312"/>
          <w:color w:val="000000"/>
          <w:sz w:val="24"/>
        </w:rPr>
        <w:t>款项</w:t>
      </w:r>
      <w:r>
        <w:rPr>
          <w:rFonts w:eastAsia="楷体_GB2312"/>
          <w:sz w:val="24"/>
        </w:rPr>
        <w:t>分别作为“收入回收款”和“本金回收款”</w:t>
      </w:r>
      <w:r>
        <w:rPr>
          <w:rFonts w:eastAsia="楷体_GB2312"/>
          <w:color w:val="000000"/>
          <w:sz w:val="24"/>
        </w:rPr>
        <w:t>转入</w:t>
      </w:r>
      <w:r>
        <w:rPr>
          <w:rFonts w:eastAsia="楷体_GB2312"/>
          <w:sz w:val="24"/>
        </w:rPr>
        <w:t>“</w:t>
      </w:r>
      <w:r>
        <w:rPr>
          <w:rFonts w:eastAsia="楷体_GB2312"/>
          <w:color w:val="000000"/>
          <w:sz w:val="24"/>
        </w:rPr>
        <w:t>信托账户</w:t>
      </w:r>
      <w:r>
        <w:rPr>
          <w:rFonts w:eastAsia="楷体_GB2312"/>
          <w:sz w:val="24"/>
        </w:rPr>
        <w:t>”。</w:t>
      </w:r>
    </w:p>
    <w:p w14:paraId="7BDD7132">
      <w:pPr>
        <w:spacing w:line="380" w:lineRule="atLeast"/>
        <w:ind w:left="851"/>
        <w:rPr>
          <w:rFonts w:eastAsia="楷体_GB2312"/>
          <w:sz w:val="24"/>
        </w:rPr>
      </w:pPr>
    </w:p>
    <w:p w14:paraId="794C84D8">
      <w:pPr>
        <w:numPr>
          <w:ilvl w:val="1"/>
          <w:numId w:val="4"/>
        </w:numPr>
        <w:spacing w:line="380" w:lineRule="atLeast"/>
        <w:rPr>
          <w:rFonts w:eastAsia="楷体_GB2312"/>
          <w:sz w:val="24"/>
        </w:rPr>
      </w:pPr>
      <w:bookmarkStart w:id="533" w:name="_DV_M213"/>
      <w:bookmarkEnd w:id="533"/>
      <w:r>
        <w:rPr>
          <w:rFonts w:eastAsia="楷体_GB2312"/>
          <w:sz w:val="24"/>
        </w:rPr>
        <w:t>在“信托账户”收到“委托人”支付的相当于“清仓回购价格”的资金（如“清仓回购价格”为零，则系指“受托人”收到“委托人”发送的清仓回购承诺通知书之日）后，“受托人”自“回购起算日”（不含该日）起基于“信托财产”和“账户记录”的（现时的和未来的、实际的和或有的）全部权利、所有权、利益和收益全部自动转让给“委托人”；自“回购起算日”（不含该日）起“信贷资产”所产生的全部“回收款”为“委托人”所有，如果“贷款服务机构”已经将发出《清仓回购通知书》所在“收款期间”产生的“回收款”转付给“受托人”的，“委托人”可以从其支付的“清仓回购价款”扣除该等“回收款”，如“贷款服务机构”尚未将发出《清仓回购通知书》所在“收款期间”产生的“回收款”转付给“受托人”的，“受托人”可指示“贷款服务机构”向“委托人”交付该等“回收款”。此外，在由“委托人”承担费用的前提下，“受托人”应协助“委托人”办理其合理地认为必要的全部变更登记和通知手续。</w:t>
      </w:r>
    </w:p>
    <w:p w14:paraId="07915213">
      <w:pPr>
        <w:spacing w:line="360" w:lineRule="auto"/>
        <w:ind w:left="851"/>
        <w:rPr>
          <w:rFonts w:eastAsia="楷体_GB2312"/>
          <w:b/>
          <w:bCs/>
          <w:i/>
          <w:iCs/>
          <w:color w:val="FF0000"/>
          <w:sz w:val="24"/>
        </w:rPr>
      </w:pPr>
      <w:r>
        <w:rPr>
          <w:rFonts w:eastAsia="楷体_GB2312"/>
          <w:b/>
          <w:bCs/>
          <w:i/>
          <w:iCs/>
          <w:color w:val="FF0000"/>
          <w:sz w:val="24"/>
        </w:rPr>
        <w:t>【注：清仓回购各程序的时间要求、清仓回购价格以及回购起算日的设定等，均可根据具体项目需要调整。】</w:t>
      </w:r>
    </w:p>
    <w:bookmarkEnd w:id="528"/>
    <w:p w14:paraId="6D066343">
      <w:pPr>
        <w:pStyle w:val="78"/>
        <w:ind w:firstLine="480"/>
        <w:rPr>
          <w:rFonts w:eastAsia="楷体_GB2312"/>
          <w:sz w:val="24"/>
        </w:rPr>
      </w:pPr>
    </w:p>
    <w:p w14:paraId="291B02AB">
      <w:pPr>
        <w:numPr>
          <w:ilvl w:val="0"/>
          <w:numId w:val="4"/>
        </w:numPr>
        <w:spacing w:line="380" w:lineRule="atLeast"/>
        <w:outlineLvl w:val="0"/>
        <w:rPr>
          <w:rFonts w:eastAsia="楷体_GB2312"/>
          <w:b/>
          <w:sz w:val="24"/>
        </w:rPr>
      </w:pPr>
      <w:bookmarkStart w:id="534" w:name="_Toc51258997"/>
      <w:bookmarkEnd w:id="534"/>
      <w:bookmarkStart w:id="535" w:name="_Toc51282348"/>
      <w:bookmarkEnd w:id="535"/>
      <w:bookmarkStart w:id="536" w:name="_Toc51283171"/>
      <w:bookmarkEnd w:id="536"/>
      <w:bookmarkStart w:id="537" w:name="_Toc51283170"/>
      <w:bookmarkEnd w:id="537"/>
      <w:bookmarkStart w:id="538" w:name="_Toc51282347"/>
      <w:bookmarkEnd w:id="538"/>
      <w:bookmarkStart w:id="539" w:name="_Toc51282578"/>
      <w:bookmarkEnd w:id="539"/>
      <w:bookmarkStart w:id="540" w:name="_Toc51282579"/>
      <w:bookmarkEnd w:id="540"/>
      <w:bookmarkStart w:id="541" w:name="_Toc16467"/>
      <w:bookmarkStart w:id="542" w:name="_Toc110153448"/>
      <w:bookmarkStart w:id="543" w:name="_Toc373951556"/>
      <w:bookmarkStart w:id="544" w:name="_Toc111281805"/>
      <w:bookmarkStart w:id="545" w:name="_Toc51277225"/>
      <w:r>
        <w:rPr>
          <w:rFonts w:eastAsia="楷体_GB2312"/>
          <w:b/>
          <w:sz w:val="24"/>
        </w:rPr>
        <w:t>信</w:t>
      </w:r>
      <w:bookmarkStart w:id="546" w:name="_Toc92612935"/>
      <w:r>
        <w:rPr>
          <w:rFonts w:eastAsia="楷体_GB2312"/>
          <w:b/>
          <w:sz w:val="24"/>
        </w:rPr>
        <w:t>托的核算</w:t>
      </w:r>
      <w:bookmarkEnd w:id="541"/>
      <w:bookmarkEnd w:id="542"/>
      <w:bookmarkEnd w:id="543"/>
      <w:bookmarkEnd w:id="544"/>
      <w:bookmarkEnd w:id="545"/>
    </w:p>
    <w:bookmarkEnd w:id="546"/>
    <w:p w14:paraId="0C422162">
      <w:pPr>
        <w:spacing w:line="380" w:lineRule="atLeast"/>
        <w:rPr>
          <w:rFonts w:eastAsia="楷体_GB2312"/>
          <w:sz w:val="24"/>
        </w:rPr>
      </w:pPr>
    </w:p>
    <w:p w14:paraId="6007561C">
      <w:pPr>
        <w:numPr>
          <w:ilvl w:val="1"/>
          <w:numId w:val="4"/>
        </w:numPr>
        <w:spacing w:line="380" w:lineRule="atLeast"/>
        <w:rPr>
          <w:rFonts w:eastAsia="楷体_GB2312"/>
          <w:b/>
          <w:bCs/>
          <w:sz w:val="24"/>
        </w:rPr>
      </w:pPr>
      <w:r>
        <w:rPr>
          <w:rFonts w:eastAsia="楷体_GB2312"/>
          <w:b/>
          <w:bCs/>
          <w:sz w:val="24"/>
        </w:rPr>
        <w:t>会计处理依据的法律法规</w:t>
      </w:r>
    </w:p>
    <w:p w14:paraId="147F6224">
      <w:pPr>
        <w:pStyle w:val="11"/>
      </w:pPr>
    </w:p>
    <w:p w14:paraId="75E4BD1E">
      <w:pPr>
        <w:spacing w:line="380" w:lineRule="atLeast"/>
        <w:ind w:left="992"/>
        <w:rPr>
          <w:rFonts w:eastAsia="楷体_GB2312"/>
          <w:sz w:val="24"/>
        </w:rPr>
      </w:pPr>
      <w:r>
        <w:rPr>
          <w:rFonts w:eastAsia="楷体_GB2312"/>
          <w:sz w:val="24"/>
        </w:rPr>
        <w:t>“受托人”应按照“中国”“法律”对信托公司的监管要求进行“信托财产”记账和会计核算。</w:t>
      </w:r>
    </w:p>
    <w:p w14:paraId="63381105">
      <w:pPr>
        <w:spacing w:line="380" w:lineRule="atLeast"/>
        <w:rPr>
          <w:rFonts w:eastAsia="楷体_GB2312"/>
          <w:sz w:val="24"/>
        </w:rPr>
      </w:pPr>
    </w:p>
    <w:p w14:paraId="78F1E705">
      <w:pPr>
        <w:numPr>
          <w:ilvl w:val="1"/>
          <w:numId w:val="4"/>
        </w:numPr>
        <w:spacing w:line="380" w:lineRule="atLeast"/>
        <w:rPr>
          <w:rFonts w:eastAsia="楷体_GB2312"/>
          <w:b/>
          <w:sz w:val="24"/>
        </w:rPr>
      </w:pPr>
      <w:r>
        <w:rPr>
          <w:rFonts w:eastAsia="楷体_GB2312"/>
          <w:b/>
          <w:sz w:val="24"/>
        </w:rPr>
        <w:t>分账核算</w:t>
      </w:r>
    </w:p>
    <w:p w14:paraId="7338B4D5">
      <w:pPr>
        <w:spacing w:line="380" w:lineRule="atLeast"/>
        <w:ind w:left="1800"/>
        <w:rPr>
          <w:rFonts w:eastAsia="楷体_GB2312"/>
          <w:sz w:val="24"/>
        </w:rPr>
      </w:pPr>
    </w:p>
    <w:p w14:paraId="617E3FB2">
      <w:pPr>
        <w:numPr>
          <w:ilvl w:val="2"/>
          <w:numId w:val="4"/>
        </w:numPr>
        <w:tabs>
          <w:tab w:val="left" w:pos="900"/>
        </w:tabs>
        <w:spacing w:line="380" w:lineRule="atLeast"/>
        <w:ind w:left="1620" w:hanging="769"/>
        <w:rPr>
          <w:rFonts w:eastAsia="楷体_GB2312"/>
          <w:sz w:val="24"/>
        </w:rPr>
      </w:pPr>
      <w:r>
        <w:rPr>
          <w:rFonts w:eastAsia="楷体_GB2312"/>
          <w:sz w:val="24"/>
        </w:rPr>
        <w:t>“受托人”开立“信托账户”专门用于“信托”项下的资金结算，进行核算管理，确保“信托”项下的“信托财产”与“受托人”的固有财产和其他信托项下的财产分开管理、分账核算。</w:t>
      </w:r>
    </w:p>
    <w:p w14:paraId="435E744B">
      <w:pPr>
        <w:spacing w:line="380" w:lineRule="atLeast"/>
        <w:ind w:left="1800"/>
        <w:rPr>
          <w:rFonts w:eastAsia="楷体_GB2312"/>
          <w:sz w:val="24"/>
        </w:rPr>
      </w:pPr>
    </w:p>
    <w:p w14:paraId="19A038EA">
      <w:pPr>
        <w:numPr>
          <w:ilvl w:val="2"/>
          <w:numId w:val="4"/>
        </w:numPr>
        <w:tabs>
          <w:tab w:val="left" w:pos="900"/>
        </w:tabs>
        <w:spacing w:line="380" w:lineRule="atLeast"/>
        <w:ind w:left="1620" w:hanging="769"/>
        <w:rPr>
          <w:rFonts w:eastAsia="楷体_GB2312"/>
          <w:sz w:val="24"/>
        </w:rPr>
      </w:pPr>
      <w:r>
        <w:rPr>
          <w:rFonts w:eastAsia="楷体_GB2312"/>
          <w:sz w:val="24"/>
        </w:rPr>
        <w:t>“受托人”为“信托”建立单独的会计记录和财务报表，确保“信托财产”的独立性。</w:t>
      </w:r>
    </w:p>
    <w:p w14:paraId="32B4306A">
      <w:pPr>
        <w:spacing w:line="380" w:lineRule="atLeast"/>
        <w:ind w:left="1800"/>
        <w:rPr>
          <w:rFonts w:eastAsia="楷体_GB2312"/>
          <w:sz w:val="24"/>
        </w:rPr>
      </w:pPr>
    </w:p>
    <w:p w14:paraId="45B23051">
      <w:pPr>
        <w:numPr>
          <w:ilvl w:val="2"/>
          <w:numId w:val="4"/>
        </w:numPr>
        <w:tabs>
          <w:tab w:val="left" w:pos="900"/>
        </w:tabs>
        <w:spacing w:line="380" w:lineRule="atLeast"/>
        <w:ind w:left="1620" w:hanging="769"/>
        <w:rPr>
          <w:rFonts w:eastAsia="楷体_GB2312"/>
          <w:sz w:val="24"/>
        </w:rPr>
      </w:pPr>
      <w:r>
        <w:rPr>
          <w:rFonts w:eastAsia="楷体_GB2312"/>
          <w:sz w:val="24"/>
        </w:rPr>
        <w:t>“信托”将作为独立的会计核算主体，以持续经营为前提，单独记账、单独核算、单独编制财务会计报告，独立核算“信托财产”的管理、运用和处分情况。“受托人”、“贷款服务机构”和“资金保管机构”分工完成整个信托过程的会计处理；“受托人”依照“贷款服务机构”和“资金保管机构”分别提供的“贷款服务机构报告”、“贷款服务机构”会计信息、资金保管报告等信息进行会计核算，编制“信托”的会计报表。“信托”会计处理的具体原则和方式参见本合同</w:t>
      </w:r>
      <w:r>
        <w:rPr>
          <w:rFonts w:eastAsia="楷体_GB2312"/>
          <w:b/>
          <w:i/>
          <w:sz w:val="24"/>
        </w:rPr>
        <w:t>【附件九】</w:t>
      </w:r>
      <w:r>
        <w:rPr>
          <w:rFonts w:eastAsia="楷体_GB2312"/>
          <w:sz w:val="24"/>
        </w:rPr>
        <w:t>。</w:t>
      </w:r>
    </w:p>
    <w:p w14:paraId="5FF47D26">
      <w:pPr>
        <w:spacing w:line="380" w:lineRule="atLeast"/>
        <w:rPr>
          <w:rFonts w:eastAsia="楷体_GB2312"/>
          <w:sz w:val="24"/>
        </w:rPr>
      </w:pPr>
    </w:p>
    <w:p w14:paraId="4171FFF5">
      <w:pPr>
        <w:numPr>
          <w:ilvl w:val="0"/>
          <w:numId w:val="4"/>
        </w:numPr>
        <w:spacing w:line="380" w:lineRule="atLeast"/>
        <w:outlineLvl w:val="0"/>
        <w:rPr>
          <w:rFonts w:eastAsia="楷体_GB2312"/>
          <w:b/>
          <w:sz w:val="24"/>
        </w:rPr>
      </w:pPr>
      <w:bookmarkStart w:id="547" w:name="_Toc111281807"/>
      <w:bookmarkStart w:id="548" w:name="_Toc110153450"/>
      <w:bookmarkStart w:id="549" w:name="_Toc51277226"/>
      <w:bookmarkStart w:id="550" w:name="_Toc4522"/>
      <w:bookmarkStart w:id="551" w:name="_Toc373951557"/>
      <w:bookmarkStart w:id="552" w:name="_Toc92612937"/>
      <w:r>
        <w:rPr>
          <w:rFonts w:eastAsia="楷体_GB2312"/>
          <w:b/>
          <w:sz w:val="24"/>
        </w:rPr>
        <w:t>费用</w:t>
      </w:r>
      <w:bookmarkEnd w:id="547"/>
      <w:bookmarkEnd w:id="548"/>
      <w:r>
        <w:rPr>
          <w:rFonts w:eastAsia="楷体_GB2312"/>
          <w:b/>
          <w:sz w:val="24"/>
        </w:rPr>
        <w:t>的负担</w:t>
      </w:r>
      <w:bookmarkEnd w:id="549"/>
      <w:bookmarkEnd w:id="550"/>
      <w:bookmarkEnd w:id="551"/>
    </w:p>
    <w:bookmarkEnd w:id="552"/>
    <w:p w14:paraId="4D753C16">
      <w:pPr>
        <w:spacing w:line="360" w:lineRule="auto"/>
        <w:ind w:firstLine="420"/>
        <w:rPr>
          <w:rFonts w:eastAsia="楷体_GB2312"/>
          <w:b/>
          <w:bCs/>
          <w:i/>
          <w:iCs/>
          <w:color w:val="FF0000"/>
          <w:kern w:val="2"/>
          <w:sz w:val="24"/>
          <w:szCs w:val="24"/>
        </w:rPr>
      </w:pPr>
      <w:r>
        <w:rPr>
          <w:rFonts w:eastAsia="楷体_GB2312"/>
          <w:b/>
          <w:bCs/>
          <w:i/>
          <w:iCs/>
          <w:color w:val="FF0000"/>
          <w:kern w:val="2"/>
          <w:sz w:val="24"/>
          <w:szCs w:val="24"/>
        </w:rPr>
        <w:t>【注：费用的承担可根据项目安排进行调整。】</w:t>
      </w:r>
    </w:p>
    <w:p w14:paraId="258EE8EB">
      <w:pPr>
        <w:spacing w:line="380" w:lineRule="atLeast"/>
        <w:rPr>
          <w:rFonts w:eastAsia="楷体_GB2312"/>
          <w:b/>
          <w:color w:val="0000FF"/>
          <w:sz w:val="24"/>
        </w:rPr>
      </w:pPr>
    </w:p>
    <w:p w14:paraId="768A3970">
      <w:pPr>
        <w:numPr>
          <w:ilvl w:val="1"/>
          <w:numId w:val="4"/>
        </w:numPr>
        <w:tabs>
          <w:tab w:val="left" w:pos="1800"/>
          <w:tab w:val="left" w:pos="1980"/>
        </w:tabs>
        <w:spacing w:line="380" w:lineRule="atLeast"/>
        <w:rPr>
          <w:rFonts w:eastAsia="楷体_GB2312"/>
          <w:b/>
          <w:sz w:val="24"/>
        </w:rPr>
      </w:pPr>
      <w:r>
        <w:rPr>
          <w:rFonts w:eastAsia="楷体_GB2312"/>
          <w:b/>
          <w:sz w:val="24"/>
        </w:rPr>
        <w:t>信托设立前费用的承担</w:t>
      </w:r>
    </w:p>
    <w:p w14:paraId="2FCA7520">
      <w:pPr>
        <w:spacing w:line="380" w:lineRule="atLeast"/>
        <w:ind w:left="1800"/>
        <w:rPr>
          <w:rFonts w:eastAsia="楷体_GB2312"/>
          <w:sz w:val="24"/>
        </w:rPr>
      </w:pPr>
    </w:p>
    <w:p w14:paraId="04FC14C9">
      <w:pPr>
        <w:numPr>
          <w:ilvl w:val="2"/>
          <w:numId w:val="4"/>
        </w:numPr>
        <w:spacing w:line="380" w:lineRule="atLeast"/>
        <w:rPr>
          <w:rFonts w:eastAsia="楷体_GB2312"/>
          <w:b/>
          <w:sz w:val="24"/>
        </w:rPr>
      </w:pPr>
      <w:r>
        <w:rPr>
          <w:rFonts w:eastAsia="楷体_GB2312"/>
          <w:b/>
          <w:sz w:val="24"/>
        </w:rPr>
        <w:t>委托人承担的费用</w:t>
      </w:r>
    </w:p>
    <w:p w14:paraId="55B6136C">
      <w:pPr>
        <w:spacing w:line="380" w:lineRule="atLeast"/>
        <w:ind w:left="992"/>
        <w:rPr>
          <w:rFonts w:eastAsia="楷体_GB2312"/>
          <w:sz w:val="24"/>
        </w:rPr>
      </w:pPr>
    </w:p>
    <w:p w14:paraId="4513FD1C">
      <w:pPr>
        <w:spacing w:line="380" w:lineRule="atLeast"/>
        <w:ind w:left="1620"/>
        <w:rPr>
          <w:rFonts w:eastAsia="楷体_GB2312"/>
          <w:sz w:val="24"/>
        </w:rPr>
      </w:pPr>
      <w:r>
        <w:rPr>
          <w:rFonts w:eastAsia="楷体_GB2312"/>
          <w:sz w:val="24"/>
        </w:rPr>
        <w:t>以下费用由“委托人”承担：</w:t>
      </w:r>
    </w:p>
    <w:p w14:paraId="2AE20413">
      <w:pPr>
        <w:spacing w:line="380" w:lineRule="atLeast"/>
        <w:ind w:left="992"/>
        <w:rPr>
          <w:rFonts w:eastAsia="楷体_GB2312"/>
          <w:sz w:val="24"/>
        </w:rPr>
      </w:pPr>
    </w:p>
    <w:p w14:paraId="3BC30BC5">
      <w:pPr>
        <w:pStyle w:val="78"/>
        <w:numPr>
          <w:ilvl w:val="0"/>
          <w:numId w:val="26"/>
        </w:numPr>
        <w:tabs>
          <w:tab w:val="left" w:pos="425"/>
          <w:tab w:val="left" w:pos="900"/>
          <w:tab w:val="left" w:pos="1571"/>
        </w:tabs>
        <w:spacing w:line="380" w:lineRule="atLeast"/>
        <w:ind w:left="2127" w:hanging="426" w:firstLineChars="0"/>
        <w:rPr>
          <w:rFonts w:eastAsia="楷体_GB2312"/>
          <w:color w:val="000000"/>
          <w:sz w:val="24"/>
        </w:rPr>
      </w:pPr>
      <w:r>
        <w:rPr>
          <w:rFonts w:eastAsia="楷体_GB2312"/>
          <w:color w:val="000000"/>
          <w:sz w:val="24"/>
        </w:rPr>
        <w:t>因进行“不合格信贷资产”“赎回”所发生的费用（如有）；</w:t>
      </w:r>
    </w:p>
    <w:p w14:paraId="44A74741">
      <w:pPr>
        <w:pStyle w:val="69"/>
        <w:spacing w:line="380" w:lineRule="atLeast"/>
        <w:ind w:firstLine="480"/>
        <w:rPr>
          <w:rFonts w:eastAsia="楷体_GB2312"/>
          <w:color w:val="000000"/>
          <w:sz w:val="24"/>
        </w:rPr>
      </w:pPr>
    </w:p>
    <w:p w14:paraId="6065556A">
      <w:pPr>
        <w:pStyle w:val="78"/>
        <w:numPr>
          <w:ilvl w:val="0"/>
          <w:numId w:val="26"/>
        </w:numPr>
        <w:tabs>
          <w:tab w:val="left" w:pos="425"/>
          <w:tab w:val="left" w:pos="900"/>
          <w:tab w:val="left" w:pos="1571"/>
        </w:tabs>
        <w:spacing w:line="380" w:lineRule="atLeast"/>
        <w:ind w:left="2127" w:hanging="426" w:firstLineChars="0"/>
        <w:rPr>
          <w:rFonts w:eastAsia="楷体_GB2312"/>
          <w:color w:val="000000"/>
          <w:sz w:val="24"/>
        </w:rPr>
      </w:pPr>
      <w:r>
        <w:rPr>
          <w:rFonts w:eastAsia="楷体_GB2312"/>
          <w:color w:val="000000"/>
          <w:sz w:val="24"/>
        </w:rPr>
        <w:t>发送“权利完善通知”的费用（如有）；</w:t>
      </w:r>
    </w:p>
    <w:p w14:paraId="2A8AA451">
      <w:pPr>
        <w:spacing w:line="380" w:lineRule="atLeast"/>
        <w:ind w:left="1271"/>
        <w:rPr>
          <w:rFonts w:eastAsia="楷体_GB2312"/>
          <w:color w:val="000000"/>
          <w:sz w:val="24"/>
        </w:rPr>
      </w:pPr>
    </w:p>
    <w:p w14:paraId="23CE84FB">
      <w:pPr>
        <w:pStyle w:val="78"/>
        <w:numPr>
          <w:ilvl w:val="0"/>
          <w:numId w:val="26"/>
        </w:numPr>
        <w:tabs>
          <w:tab w:val="left" w:pos="425"/>
          <w:tab w:val="left" w:pos="900"/>
          <w:tab w:val="left" w:pos="1571"/>
        </w:tabs>
        <w:spacing w:line="380" w:lineRule="atLeast"/>
        <w:ind w:left="2127" w:hanging="426" w:firstLineChars="0"/>
        <w:rPr>
          <w:rFonts w:eastAsia="楷体_GB2312"/>
          <w:color w:val="000000"/>
          <w:sz w:val="24"/>
        </w:rPr>
      </w:pPr>
      <w:r>
        <w:rPr>
          <w:rFonts w:eastAsia="楷体_GB2312"/>
          <w:color w:val="000000"/>
          <w:sz w:val="24"/>
        </w:rPr>
        <w:t>“交易文件”约定的应由“委托人”承担的其他费用。</w:t>
      </w:r>
    </w:p>
    <w:p w14:paraId="44D04496">
      <w:pPr>
        <w:tabs>
          <w:tab w:val="left" w:pos="2356"/>
        </w:tabs>
        <w:spacing w:line="380" w:lineRule="atLeast"/>
        <w:rPr>
          <w:rFonts w:eastAsia="楷体_GB2312"/>
          <w:sz w:val="24"/>
        </w:rPr>
      </w:pPr>
    </w:p>
    <w:p w14:paraId="04E3F933">
      <w:pPr>
        <w:numPr>
          <w:ilvl w:val="1"/>
          <w:numId w:val="4"/>
        </w:numPr>
        <w:tabs>
          <w:tab w:val="left" w:pos="1800"/>
          <w:tab w:val="left" w:pos="1980"/>
        </w:tabs>
        <w:spacing w:line="380" w:lineRule="atLeast"/>
        <w:rPr>
          <w:rFonts w:eastAsia="楷体_GB2312"/>
          <w:sz w:val="24"/>
        </w:rPr>
      </w:pPr>
      <w:r>
        <w:rPr>
          <w:rFonts w:eastAsia="楷体_GB2312"/>
          <w:b/>
          <w:sz w:val="24"/>
        </w:rPr>
        <w:t>信托期限内费用的承担</w:t>
      </w:r>
    </w:p>
    <w:p w14:paraId="38DBD0AD">
      <w:pPr>
        <w:spacing w:line="380" w:lineRule="atLeast"/>
        <w:rPr>
          <w:rFonts w:eastAsia="楷体_GB2312"/>
          <w:b/>
          <w:sz w:val="24"/>
        </w:rPr>
      </w:pPr>
    </w:p>
    <w:p w14:paraId="63E14AB2">
      <w:pPr>
        <w:spacing w:line="380" w:lineRule="atLeast"/>
        <w:ind w:left="992"/>
        <w:rPr>
          <w:rFonts w:eastAsia="楷体_GB2312"/>
          <w:sz w:val="24"/>
        </w:rPr>
      </w:pPr>
      <w:r>
        <w:rPr>
          <w:rFonts w:eastAsia="楷体_GB2312"/>
          <w:sz w:val="24"/>
        </w:rPr>
        <w:t>在“信托期限”内，下列费用应由“信托财产”承担，并应按照本合同约定的支付顺序予以支付：</w:t>
      </w:r>
    </w:p>
    <w:p w14:paraId="54FB844D">
      <w:pPr>
        <w:spacing w:line="380" w:lineRule="atLeast"/>
        <w:rPr>
          <w:rFonts w:eastAsia="楷体_GB2312"/>
          <w:sz w:val="24"/>
        </w:rPr>
      </w:pPr>
    </w:p>
    <w:p w14:paraId="500F5E8E">
      <w:pPr>
        <w:numPr>
          <w:ilvl w:val="2"/>
          <w:numId w:val="4"/>
        </w:numPr>
        <w:tabs>
          <w:tab w:val="left" w:pos="900"/>
        </w:tabs>
        <w:spacing w:line="380" w:lineRule="atLeast"/>
        <w:ind w:left="1620" w:hanging="769"/>
        <w:rPr>
          <w:rFonts w:eastAsia="楷体_GB2312"/>
          <w:sz w:val="24"/>
        </w:rPr>
      </w:pPr>
      <w:r>
        <w:rPr>
          <w:rFonts w:eastAsia="楷体_GB2312"/>
          <w:sz w:val="24"/>
        </w:rPr>
        <w:t>税收及规费（包括但不限于：增值税及附加、所得税，受托人因受托本信托业务而增加的业务规费（如有））；</w:t>
      </w:r>
    </w:p>
    <w:p w14:paraId="78AB4C98">
      <w:pPr>
        <w:tabs>
          <w:tab w:val="left" w:pos="900"/>
        </w:tabs>
        <w:spacing w:line="380" w:lineRule="atLeast"/>
        <w:ind w:left="1620"/>
        <w:rPr>
          <w:rFonts w:eastAsia="楷体_GB2312"/>
          <w:sz w:val="24"/>
        </w:rPr>
      </w:pPr>
    </w:p>
    <w:p w14:paraId="5EA64958">
      <w:pPr>
        <w:numPr>
          <w:ilvl w:val="2"/>
          <w:numId w:val="4"/>
        </w:numPr>
        <w:tabs>
          <w:tab w:val="left" w:pos="900"/>
        </w:tabs>
        <w:spacing w:line="380" w:lineRule="atLeast"/>
        <w:ind w:left="1620" w:hanging="769"/>
        <w:rPr>
          <w:rFonts w:eastAsia="楷体_GB2312"/>
          <w:sz w:val="24"/>
        </w:rPr>
      </w:pPr>
      <w:r>
        <w:rPr>
          <w:rFonts w:eastAsia="楷体_GB2312"/>
          <w:sz w:val="24"/>
        </w:rPr>
        <w:t>“发行费用”；</w:t>
      </w:r>
    </w:p>
    <w:p w14:paraId="2C58A4FD">
      <w:pPr>
        <w:tabs>
          <w:tab w:val="left" w:pos="900"/>
        </w:tabs>
        <w:spacing w:line="380" w:lineRule="atLeast"/>
        <w:ind w:left="1620"/>
        <w:rPr>
          <w:rFonts w:eastAsia="楷体_GB2312"/>
          <w:sz w:val="24"/>
        </w:rPr>
      </w:pPr>
    </w:p>
    <w:p w14:paraId="5FBE4697">
      <w:pPr>
        <w:numPr>
          <w:ilvl w:val="2"/>
          <w:numId w:val="4"/>
        </w:numPr>
        <w:tabs>
          <w:tab w:val="left" w:pos="900"/>
        </w:tabs>
        <w:spacing w:line="380" w:lineRule="atLeast"/>
        <w:ind w:left="1620" w:hanging="769"/>
        <w:rPr>
          <w:rFonts w:eastAsia="楷体_GB2312"/>
          <w:sz w:val="24"/>
        </w:rPr>
      </w:pPr>
      <w:r>
        <w:rPr>
          <w:rFonts w:eastAsia="楷体_GB2312"/>
          <w:sz w:val="24"/>
        </w:rPr>
        <w:t>“受托人”、“贷款服务机构”、“后备贷款服务机构”、“资金保管机构”、“登记托管机构”/“支付代理机构”、“评级机构”（提供跟踪评级服务）、“审计师”的报酬；</w:t>
      </w:r>
    </w:p>
    <w:p w14:paraId="21A6F00A">
      <w:pPr>
        <w:tabs>
          <w:tab w:val="left" w:pos="900"/>
        </w:tabs>
        <w:spacing w:line="380" w:lineRule="atLeast"/>
        <w:ind w:left="1620"/>
        <w:rPr>
          <w:rFonts w:eastAsia="楷体_GB2312"/>
          <w:sz w:val="24"/>
        </w:rPr>
      </w:pPr>
    </w:p>
    <w:p w14:paraId="1C5379AA">
      <w:pPr>
        <w:numPr>
          <w:ilvl w:val="2"/>
          <w:numId w:val="4"/>
        </w:numPr>
        <w:tabs>
          <w:tab w:val="left" w:pos="900"/>
        </w:tabs>
        <w:spacing w:line="380" w:lineRule="atLeast"/>
        <w:ind w:left="1620" w:hanging="769"/>
        <w:rPr>
          <w:rFonts w:eastAsia="楷体_GB2312"/>
          <w:sz w:val="24"/>
        </w:rPr>
      </w:pPr>
      <w:r>
        <w:rPr>
          <w:rFonts w:eastAsia="楷体_GB2312"/>
          <w:sz w:val="24"/>
        </w:rPr>
        <w:t>“费用支出”；</w:t>
      </w:r>
    </w:p>
    <w:p w14:paraId="496F33EB">
      <w:pPr>
        <w:tabs>
          <w:tab w:val="left" w:pos="900"/>
        </w:tabs>
        <w:spacing w:line="380" w:lineRule="atLeast"/>
        <w:ind w:left="1620"/>
        <w:rPr>
          <w:rFonts w:eastAsia="楷体_GB2312"/>
          <w:sz w:val="24"/>
        </w:rPr>
      </w:pPr>
    </w:p>
    <w:p w14:paraId="4A278AF3">
      <w:pPr>
        <w:numPr>
          <w:ilvl w:val="2"/>
          <w:numId w:val="4"/>
        </w:numPr>
        <w:tabs>
          <w:tab w:val="left" w:pos="900"/>
        </w:tabs>
        <w:spacing w:line="380" w:lineRule="atLeast"/>
        <w:ind w:left="1620" w:hanging="769"/>
        <w:rPr>
          <w:rFonts w:eastAsia="楷体_GB2312"/>
          <w:sz w:val="24"/>
        </w:rPr>
      </w:pPr>
      <w:r>
        <w:rPr>
          <w:rFonts w:eastAsia="楷体_GB2312"/>
          <w:sz w:val="24"/>
        </w:rPr>
        <w:t>“执行费用”；</w:t>
      </w:r>
    </w:p>
    <w:p w14:paraId="6A0A582D">
      <w:pPr>
        <w:tabs>
          <w:tab w:val="left" w:pos="900"/>
        </w:tabs>
        <w:spacing w:line="380" w:lineRule="atLeast"/>
        <w:ind w:left="1620"/>
        <w:rPr>
          <w:rFonts w:eastAsia="楷体_GB2312"/>
          <w:sz w:val="24"/>
        </w:rPr>
      </w:pPr>
    </w:p>
    <w:p w14:paraId="29E5B6A0">
      <w:pPr>
        <w:numPr>
          <w:ilvl w:val="2"/>
          <w:numId w:val="4"/>
        </w:numPr>
        <w:tabs>
          <w:tab w:val="left" w:pos="900"/>
        </w:tabs>
        <w:spacing w:line="380" w:lineRule="atLeast"/>
        <w:ind w:left="1620" w:hanging="769"/>
        <w:rPr>
          <w:rFonts w:eastAsia="楷体_GB2312"/>
          <w:sz w:val="24"/>
        </w:rPr>
      </w:pPr>
      <w:r>
        <w:rPr>
          <w:rFonts w:eastAsia="楷体_GB2312"/>
          <w:sz w:val="24"/>
        </w:rPr>
        <w:t>“受托人”垫付的管理信托事务的必要支出（如召集“资产支持证券持有人大会”之费用等）；</w:t>
      </w:r>
    </w:p>
    <w:p w14:paraId="6C9BF0C3">
      <w:pPr>
        <w:tabs>
          <w:tab w:val="left" w:pos="900"/>
        </w:tabs>
        <w:spacing w:line="380" w:lineRule="atLeast"/>
        <w:ind w:left="1620"/>
        <w:rPr>
          <w:rFonts w:eastAsia="楷体_GB2312"/>
          <w:sz w:val="24"/>
        </w:rPr>
      </w:pPr>
    </w:p>
    <w:p w14:paraId="35706479">
      <w:pPr>
        <w:numPr>
          <w:ilvl w:val="2"/>
          <w:numId w:val="4"/>
        </w:numPr>
        <w:tabs>
          <w:tab w:val="left" w:pos="900"/>
        </w:tabs>
        <w:spacing w:line="380" w:lineRule="atLeast"/>
        <w:ind w:left="1620" w:hanging="769"/>
        <w:rPr>
          <w:rFonts w:eastAsia="楷体_GB2312"/>
          <w:sz w:val="24"/>
        </w:rPr>
      </w:pPr>
      <w:r>
        <w:rPr>
          <w:rFonts w:eastAsia="楷体_GB2312"/>
          <w:sz w:val="24"/>
        </w:rPr>
        <w:t>为处理信托事务而发生的仲裁费（如有）、诉讼费（如有）、律师费（如有）；</w:t>
      </w:r>
    </w:p>
    <w:p w14:paraId="33CB44B5">
      <w:pPr>
        <w:tabs>
          <w:tab w:val="left" w:pos="900"/>
        </w:tabs>
        <w:spacing w:line="380" w:lineRule="atLeast"/>
        <w:ind w:left="1620"/>
        <w:rPr>
          <w:rFonts w:eastAsia="楷体_GB2312"/>
          <w:sz w:val="24"/>
        </w:rPr>
      </w:pPr>
    </w:p>
    <w:p w14:paraId="1817A9ED">
      <w:pPr>
        <w:numPr>
          <w:ilvl w:val="2"/>
          <w:numId w:val="4"/>
        </w:numPr>
        <w:tabs>
          <w:tab w:val="left" w:pos="900"/>
        </w:tabs>
        <w:spacing w:line="380" w:lineRule="atLeast"/>
        <w:ind w:left="1620" w:hanging="769"/>
        <w:rPr>
          <w:rFonts w:eastAsia="楷体_GB2312"/>
          <w:sz w:val="24"/>
        </w:rPr>
      </w:pPr>
      <w:r>
        <w:rPr>
          <w:rFonts w:eastAsia="楷体_GB2312"/>
          <w:sz w:val="24"/>
        </w:rPr>
        <w:t>更换“受托人”、“贷款服务机构”、“资金保管机构”所发生的费用、“贷款服务机构”的服务转移费用（如有）；</w:t>
      </w:r>
    </w:p>
    <w:p w14:paraId="5EDE983A">
      <w:pPr>
        <w:tabs>
          <w:tab w:val="left" w:pos="900"/>
        </w:tabs>
        <w:spacing w:line="380" w:lineRule="atLeast"/>
        <w:ind w:left="1620"/>
        <w:rPr>
          <w:rFonts w:eastAsia="楷体_GB2312"/>
          <w:sz w:val="24"/>
        </w:rPr>
      </w:pPr>
    </w:p>
    <w:p w14:paraId="1C82CC94">
      <w:pPr>
        <w:numPr>
          <w:ilvl w:val="2"/>
          <w:numId w:val="4"/>
        </w:numPr>
        <w:tabs>
          <w:tab w:val="left" w:pos="900"/>
        </w:tabs>
        <w:spacing w:line="380" w:lineRule="atLeast"/>
        <w:ind w:left="1620" w:hanging="769"/>
        <w:rPr>
          <w:rFonts w:eastAsia="楷体_GB2312"/>
          <w:sz w:val="24"/>
        </w:rPr>
      </w:pPr>
      <w:r>
        <w:rPr>
          <w:rFonts w:eastAsia="楷体_GB2312"/>
          <w:sz w:val="24"/>
        </w:rPr>
        <w:t>其他为管理“信托财产”所支出之必要费用。</w:t>
      </w:r>
    </w:p>
    <w:p w14:paraId="60EF05A2">
      <w:pPr>
        <w:spacing w:line="360" w:lineRule="auto"/>
        <w:ind w:left="420" w:firstLine="420"/>
        <w:rPr>
          <w:rFonts w:eastAsia="楷体_GB2312"/>
          <w:b/>
          <w:bCs/>
          <w:i/>
          <w:iCs/>
          <w:color w:val="FF0000"/>
          <w:sz w:val="24"/>
        </w:rPr>
      </w:pPr>
      <w:r>
        <w:rPr>
          <w:rFonts w:eastAsia="楷体_GB2312"/>
          <w:b/>
          <w:bCs/>
          <w:i/>
          <w:iCs/>
          <w:color w:val="FF0000"/>
          <w:sz w:val="24"/>
        </w:rPr>
        <w:t>【注：信托财产承担费用的范围根据具体项目的需要进行调整。】</w:t>
      </w:r>
    </w:p>
    <w:p w14:paraId="4CB7F6B6">
      <w:pPr>
        <w:spacing w:line="380" w:lineRule="atLeast"/>
        <w:rPr>
          <w:rFonts w:eastAsia="楷体_GB2312"/>
          <w:sz w:val="24"/>
        </w:rPr>
      </w:pPr>
    </w:p>
    <w:p w14:paraId="48807C4F">
      <w:pPr>
        <w:numPr>
          <w:ilvl w:val="1"/>
          <w:numId w:val="4"/>
        </w:numPr>
        <w:tabs>
          <w:tab w:val="left" w:pos="1800"/>
          <w:tab w:val="left" w:pos="1980"/>
        </w:tabs>
        <w:spacing w:line="380" w:lineRule="atLeast"/>
        <w:rPr>
          <w:rFonts w:eastAsia="楷体_GB2312"/>
          <w:sz w:val="24"/>
        </w:rPr>
      </w:pPr>
      <w:r>
        <w:rPr>
          <w:rFonts w:eastAsia="楷体_GB2312"/>
          <w:b/>
          <w:sz w:val="24"/>
        </w:rPr>
        <w:t>受托</w:t>
      </w:r>
      <w:bookmarkStart w:id="553" w:name="_Toc92612939"/>
      <w:r>
        <w:rPr>
          <w:rFonts w:eastAsia="楷体_GB2312"/>
          <w:b/>
          <w:sz w:val="24"/>
        </w:rPr>
        <w:t>人的报酬</w:t>
      </w:r>
      <w:bookmarkEnd w:id="553"/>
    </w:p>
    <w:p w14:paraId="042DB486">
      <w:pPr>
        <w:spacing w:line="380" w:lineRule="atLeast"/>
        <w:rPr>
          <w:rFonts w:eastAsia="楷体_GB2312"/>
          <w:sz w:val="24"/>
        </w:rPr>
      </w:pPr>
    </w:p>
    <w:p w14:paraId="687339A4">
      <w:pPr>
        <w:spacing w:line="380" w:lineRule="atLeast"/>
        <w:ind w:left="992"/>
        <w:rPr>
          <w:rFonts w:eastAsia="楷体_GB2312"/>
          <w:sz w:val="24"/>
        </w:rPr>
      </w:pPr>
      <w:r>
        <w:rPr>
          <w:rFonts w:eastAsia="楷体_GB2312"/>
          <w:sz w:val="24"/>
        </w:rPr>
        <w:t>“受托人”根据本合同履行“受托人”职责的报酬由“信托财产”承担，金额应为《受托机构收费函》（格式见本合同</w:t>
      </w:r>
      <w:r>
        <w:rPr>
          <w:rFonts w:eastAsia="楷体_GB2312"/>
          <w:i/>
          <w:iCs/>
          <w:sz w:val="24"/>
        </w:rPr>
        <w:t>【</w:t>
      </w:r>
      <w:r>
        <w:rPr>
          <w:rFonts w:eastAsia="楷体_GB2312"/>
          <w:b/>
          <w:bCs/>
          <w:i/>
          <w:iCs/>
          <w:sz w:val="24"/>
        </w:rPr>
        <w:t>附件十三</w:t>
      </w:r>
      <w:r>
        <w:rPr>
          <w:rFonts w:eastAsia="楷体_GB2312"/>
          <w:i/>
          <w:iCs/>
          <w:sz w:val="24"/>
        </w:rPr>
        <w:t>】</w:t>
      </w:r>
      <w:r>
        <w:rPr>
          <w:rFonts w:eastAsia="楷体_GB2312"/>
          <w:sz w:val="24"/>
        </w:rPr>
        <w:t>）中列示的金额，并按照本合同第</w:t>
      </w:r>
      <w:r>
        <w:rPr>
          <w:rFonts w:eastAsia="楷体_GB2312"/>
        </w:rPr>
        <w:fldChar w:fldCharType="begin"/>
      </w:r>
      <w:r>
        <w:rPr>
          <w:rFonts w:eastAsia="楷体_GB2312"/>
        </w:rPr>
        <w:instrText xml:space="preserve"> REF _Ref169088813 \r \h  \* MERGEFORMAT </w:instrText>
      </w:r>
      <w:r>
        <w:rPr>
          <w:rFonts w:eastAsia="楷体_GB2312"/>
        </w:rPr>
        <w:fldChar w:fldCharType="separate"/>
      </w:r>
      <w:r>
        <w:rPr>
          <w:rFonts w:eastAsia="楷体_GB2312"/>
          <w:sz w:val="24"/>
        </w:rPr>
        <w:t>10</w:t>
      </w:r>
      <w:r>
        <w:rPr>
          <w:rFonts w:eastAsia="楷体_GB2312"/>
        </w:rPr>
        <w:fldChar w:fldCharType="end"/>
      </w:r>
      <w:r>
        <w:rPr>
          <w:rFonts w:eastAsia="楷体_GB2312"/>
          <w:sz w:val="24"/>
        </w:rPr>
        <w:t>条约定的支付顺序予以支付。如果“受托人”违反“信托”目的处分“信托财产”或者因违背管理职责、处理信托事务不当致使“信托财产”受到损失的，在未恢复“信托财产”的原状或者未予赔偿前，“受托人”不得请求给付上述报酬。</w:t>
      </w:r>
    </w:p>
    <w:p w14:paraId="277734ED">
      <w:pPr>
        <w:spacing w:line="380" w:lineRule="atLeast"/>
        <w:ind w:left="992"/>
        <w:rPr>
          <w:rFonts w:eastAsia="楷体_GB2312"/>
          <w:sz w:val="24"/>
        </w:rPr>
      </w:pPr>
    </w:p>
    <w:p w14:paraId="2336349A">
      <w:pPr>
        <w:spacing w:line="380" w:lineRule="atLeast"/>
        <w:ind w:left="992"/>
        <w:rPr>
          <w:rFonts w:eastAsia="楷体_GB2312"/>
          <w:sz w:val="24"/>
        </w:rPr>
      </w:pPr>
      <w:r>
        <w:rPr>
          <w:rFonts w:eastAsia="楷体_GB2312"/>
          <w:sz w:val="24"/>
        </w:rPr>
        <w:t>“受托人”收取受托人服务报酬的收款账户基本信息如下：</w:t>
      </w:r>
    </w:p>
    <w:p w14:paraId="718CBCE0">
      <w:pPr>
        <w:spacing w:line="380" w:lineRule="atLeast"/>
        <w:ind w:left="992"/>
        <w:rPr>
          <w:rFonts w:eastAsia="楷体_GB2312"/>
          <w:sz w:val="24"/>
        </w:rPr>
      </w:pPr>
      <w:r>
        <w:rPr>
          <w:rFonts w:eastAsia="楷体_GB2312"/>
          <w:sz w:val="24"/>
        </w:rPr>
        <w:t>银行账号：【】</w:t>
      </w:r>
    </w:p>
    <w:p w14:paraId="3F36E1C6">
      <w:pPr>
        <w:spacing w:line="380" w:lineRule="atLeast"/>
        <w:ind w:left="992"/>
        <w:rPr>
          <w:rFonts w:eastAsia="楷体_GB2312"/>
          <w:sz w:val="24"/>
        </w:rPr>
      </w:pPr>
      <w:r>
        <w:rPr>
          <w:rFonts w:eastAsia="楷体_GB2312"/>
          <w:sz w:val="24"/>
        </w:rPr>
        <w:t>账户名：【】</w:t>
      </w:r>
    </w:p>
    <w:p w14:paraId="37804145">
      <w:pPr>
        <w:spacing w:line="380" w:lineRule="atLeast"/>
        <w:ind w:left="992"/>
        <w:rPr>
          <w:rFonts w:eastAsia="楷体_GB2312"/>
          <w:sz w:val="24"/>
        </w:rPr>
      </w:pPr>
      <w:r>
        <w:rPr>
          <w:rFonts w:eastAsia="楷体_GB2312"/>
          <w:sz w:val="24"/>
        </w:rPr>
        <w:t>开户行：【】</w:t>
      </w:r>
    </w:p>
    <w:p w14:paraId="4E54D3D3">
      <w:pPr>
        <w:spacing w:line="360" w:lineRule="auto"/>
        <w:ind w:left="992"/>
        <w:rPr>
          <w:rFonts w:eastAsia="楷体_GB2312"/>
          <w:b/>
          <w:bCs/>
          <w:i/>
          <w:iCs/>
          <w:color w:val="FF0000"/>
          <w:kern w:val="2"/>
          <w:sz w:val="24"/>
          <w:szCs w:val="24"/>
        </w:rPr>
      </w:pPr>
      <w:r>
        <w:rPr>
          <w:rFonts w:eastAsia="楷体_GB2312"/>
          <w:b/>
          <w:bCs/>
          <w:i/>
          <w:iCs/>
          <w:color w:val="FF0000"/>
          <w:kern w:val="2"/>
          <w:sz w:val="24"/>
          <w:szCs w:val="24"/>
        </w:rPr>
        <w:t>【注：受托人的服务报酬也可根据项目安排在本合同中约定，不另行签署收费文件并删除附件十三。】</w:t>
      </w:r>
    </w:p>
    <w:p w14:paraId="274F24BD">
      <w:pPr>
        <w:spacing w:line="360" w:lineRule="auto"/>
        <w:ind w:left="992"/>
        <w:rPr>
          <w:rFonts w:eastAsia="楷体_GB2312"/>
          <w:b/>
          <w:bCs/>
          <w:i/>
          <w:iCs/>
          <w:color w:val="FF0000"/>
          <w:kern w:val="2"/>
          <w:sz w:val="24"/>
          <w:szCs w:val="24"/>
        </w:rPr>
      </w:pPr>
    </w:p>
    <w:p w14:paraId="22412D65">
      <w:pPr>
        <w:numPr>
          <w:ilvl w:val="1"/>
          <w:numId w:val="4"/>
        </w:numPr>
        <w:tabs>
          <w:tab w:val="left" w:pos="1800"/>
          <w:tab w:val="left" w:pos="1980"/>
        </w:tabs>
        <w:spacing w:line="380" w:lineRule="atLeast"/>
        <w:rPr>
          <w:rFonts w:eastAsia="楷体_GB2312"/>
          <w:b/>
          <w:sz w:val="24"/>
        </w:rPr>
      </w:pPr>
      <w:r>
        <w:rPr>
          <w:rFonts w:eastAsia="楷体_GB2312"/>
          <w:b/>
          <w:sz w:val="24"/>
        </w:rPr>
        <w:t>贷款服务机构的报酬</w:t>
      </w:r>
    </w:p>
    <w:p w14:paraId="39774127">
      <w:pPr>
        <w:spacing w:line="380" w:lineRule="atLeast"/>
        <w:rPr>
          <w:rFonts w:eastAsia="楷体_GB2312"/>
          <w:b/>
          <w:sz w:val="24"/>
        </w:rPr>
      </w:pPr>
    </w:p>
    <w:p w14:paraId="2F0B3742">
      <w:pPr>
        <w:spacing w:line="380" w:lineRule="atLeast"/>
        <w:ind w:left="992"/>
        <w:rPr>
          <w:rFonts w:eastAsia="楷体_GB2312"/>
          <w:sz w:val="24"/>
        </w:rPr>
      </w:pPr>
      <w:r>
        <w:rPr>
          <w:rFonts w:eastAsia="楷体_GB2312"/>
          <w:sz w:val="24"/>
        </w:rPr>
        <w:t>“贷款服务机构”根据本合同履行“贷款服务机构”职责的报酬应为“贷款服务机构”根据“受托人”与“贷款服务机构”签署的“《服务合同》”的相关约定开具的“《贷款服务机构收费函》”中列示的金额，并按照本合同第</w:t>
      </w:r>
      <w:r>
        <w:rPr>
          <w:rFonts w:eastAsia="楷体_GB2312"/>
        </w:rPr>
        <w:fldChar w:fldCharType="begin"/>
      </w:r>
      <w:r>
        <w:rPr>
          <w:rFonts w:eastAsia="楷体_GB2312"/>
        </w:rPr>
        <w:instrText xml:space="preserve"> REF _Ref169088813 \r \h  \* MERGEFORMAT </w:instrText>
      </w:r>
      <w:r>
        <w:rPr>
          <w:rFonts w:eastAsia="楷体_GB2312"/>
        </w:rPr>
        <w:fldChar w:fldCharType="separate"/>
      </w:r>
      <w:r>
        <w:rPr>
          <w:rFonts w:eastAsia="楷体_GB2312"/>
          <w:sz w:val="24"/>
        </w:rPr>
        <w:t>10</w:t>
      </w:r>
      <w:r>
        <w:rPr>
          <w:rFonts w:eastAsia="楷体_GB2312"/>
        </w:rPr>
        <w:fldChar w:fldCharType="end"/>
      </w:r>
      <w:r>
        <w:rPr>
          <w:rFonts w:eastAsia="楷体_GB2312"/>
          <w:sz w:val="24"/>
        </w:rPr>
        <w:t>条约定的支付顺序予以支付。</w:t>
      </w:r>
    </w:p>
    <w:p w14:paraId="5C539A65">
      <w:pPr>
        <w:spacing w:line="380" w:lineRule="atLeast"/>
        <w:rPr>
          <w:rFonts w:eastAsia="楷体_GB2312"/>
          <w:sz w:val="24"/>
        </w:rPr>
      </w:pPr>
    </w:p>
    <w:p w14:paraId="0E56F01B">
      <w:pPr>
        <w:numPr>
          <w:ilvl w:val="1"/>
          <w:numId w:val="4"/>
        </w:numPr>
        <w:tabs>
          <w:tab w:val="left" w:pos="1800"/>
          <w:tab w:val="left" w:pos="1980"/>
        </w:tabs>
        <w:spacing w:line="380" w:lineRule="atLeast"/>
        <w:rPr>
          <w:rFonts w:eastAsia="楷体_GB2312"/>
          <w:b/>
          <w:sz w:val="24"/>
        </w:rPr>
      </w:pPr>
      <w:r>
        <w:rPr>
          <w:rFonts w:eastAsia="楷体_GB2312"/>
          <w:b/>
          <w:sz w:val="24"/>
        </w:rPr>
        <w:t>资金保管机构的报酬</w:t>
      </w:r>
    </w:p>
    <w:p w14:paraId="3846065D">
      <w:pPr>
        <w:spacing w:line="380" w:lineRule="atLeast"/>
        <w:rPr>
          <w:rFonts w:eastAsia="楷体_GB2312"/>
          <w:b/>
          <w:sz w:val="24"/>
        </w:rPr>
      </w:pPr>
    </w:p>
    <w:p w14:paraId="716EED5B">
      <w:pPr>
        <w:spacing w:line="380" w:lineRule="atLeast"/>
        <w:ind w:left="992"/>
        <w:rPr>
          <w:rFonts w:eastAsia="楷体_GB2312"/>
          <w:sz w:val="24"/>
        </w:rPr>
      </w:pPr>
      <w:r>
        <w:rPr>
          <w:rFonts w:eastAsia="楷体_GB2312"/>
          <w:sz w:val="24"/>
        </w:rPr>
        <w:t>“资金保管机构”根据本合同履行“资金保管机构”职责的报酬应为“资金保管机构”根据“受托人”与“资金保管机构”签署的“《资金保管合同》”中列示的金额，并按照本合同第</w:t>
      </w:r>
      <w:r>
        <w:rPr>
          <w:rFonts w:eastAsia="楷体_GB2312"/>
        </w:rPr>
        <w:fldChar w:fldCharType="begin"/>
      </w:r>
      <w:r>
        <w:rPr>
          <w:rFonts w:eastAsia="楷体_GB2312"/>
        </w:rPr>
        <w:instrText xml:space="preserve"> REF _Ref169088813 \r \h  \* MERGEFORMAT </w:instrText>
      </w:r>
      <w:r>
        <w:rPr>
          <w:rFonts w:eastAsia="楷体_GB2312"/>
        </w:rPr>
        <w:fldChar w:fldCharType="separate"/>
      </w:r>
      <w:r>
        <w:rPr>
          <w:rFonts w:eastAsia="楷体_GB2312"/>
          <w:sz w:val="24"/>
        </w:rPr>
        <w:t>10</w:t>
      </w:r>
      <w:r>
        <w:rPr>
          <w:rFonts w:eastAsia="楷体_GB2312"/>
        </w:rPr>
        <w:fldChar w:fldCharType="end"/>
      </w:r>
      <w:r>
        <w:rPr>
          <w:rFonts w:eastAsia="楷体_GB2312"/>
          <w:sz w:val="24"/>
        </w:rPr>
        <w:t>条约定的支付顺序予以支付。</w:t>
      </w:r>
    </w:p>
    <w:p w14:paraId="4794B884">
      <w:pPr>
        <w:spacing w:line="380" w:lineRule="atLeast"/>
        <w:rPr>
          <w:rFonts w:eastAsia="楷体_GB2312"/>
          <w:b/>
          <w:sz w:val="24"/>
        </w:rPr>
      </w:pPr>
    </w:p>
    <w:p w14:paraId="2F776E8E">
      <w:pPr>
        <w:numPr>
          <w:ilvl w:val="1"/>
          <w:numId w:val="4"/>
        </w:numPr>
        <w:tabs>
          <w:tab w:val="left" w:pos="1800"/>
          <w:tab w:val="left" w:pos="1980"/>
        </w:tabs>
        <w:spacing w:line="380" w:lineRule="atLeast"/>
        <w:rPr>
          <w:rFonts w:eastAsia="楷体_GB2312"/>
          <w:b/>
          <w:sz w:val="24"/>
        </w:rPr>
      </w:pPr>
      <w:r>
        <w:rPr>
          <w:rFonts w:eastAsia="楷体_GB2312"/>
          <w:b/>
          <w:sz w:val="24"/>
        </w:rPr>
        <w:t>其他中介服务机构的报酬</w:t>
      </w:r>
    </w:p>
    <w:p w14:paraId="13D905D2">
      <w:pPr>
        <w:spacing w:line="380" w:lineRule="atLeast"/>
        <w:rPr>
          <w:rFonts w:eastAsia="楷体_GB2312"/>
          <w:sz w:val="24"/>
        </w:rPr>
      </w:pPr>
    </w:p>
    <w:p w14:paraId="07C100AA">
      <w:pPr>
        <w:spacing w:line="380" w:lineRule="atLeast"/>
        <w:ind w:left="992"/>
        <w:rPr>
          <w:rFonts w:eastAsia="楷体_GB2312"/>
          <w:sz w:val="24"/>
        </w:rPr>
      </w:pPr>
      <w:r>
        <w:rPr>
          <w:rFonts w:eastAsia="楷体_GB2312"/>
          <w:sz w:val="24"/>
        </w:rPr>
        <w:t>其他中介服务机构根据本合同履行相应职责的报酬应为相关合同或相应收费函（如有）中列示的金额，并按照本合同第</w:t>
      </w:r>
      <w:r>
        <w:rPr>
          <w:rFonts w:eastAsia="楷体_GB2312"/>
        </w:rPr>
        <w:fldChar w:fldCharType="begin"/>
      </w:r>
      <w:r>
        <w:rPr>
          <w:rFonts w:eastAsia="楷体_GB2312"/>
        </w:rPr>
        <w:instrText xml:space="preserve"> REF _Ref169088813 \r \h  \* MERGEFORMAT </w:instrText>
      </w:r>
      <w:r>
        <w:rPr>
          <w:rFonts w:eastAsia="楷体_GB2312"/>
        </w:rPr>
        <w:fldChar w:fldCharType="separate"/>
      </w:r>
      <w:r>
        <w:rPr>
          <w:rFonts w:eastAsia="楷体_GB2312"/>
          <w:sz w:val="24"/>
        </w:rPr>
        <w:t>10</w:t>
      </w:r>
      <w:r>
        <w:rPr>
          <w:rFonts w:eastAsia="楷体_GB2312"/>
        </w:rPr>
        <w:fldChar w:fldCharType="end"/>
      </w:r>
      <w:r>
        <w:rPr>
          <w:rFonts w:eastAsia="楷体_GB2312"/>
          <w:sz w:val="24"/>
        </w:rPr>
        <w:t>条约定的支付顺序予以支付。</w:t>
      </w:r>
    </w:p>
    <w:p w14:paraId="12433627">
      <w:pPr>
        <w:spacing w:line="380" w:lineRule="atLeast"/>
        <w:rPr>
          <w:rFonts w:eastAsia="楷体_GB2312"/>
          <w:sz w:val="24"/>
        </w:rPr>
      </w:pPr>
    </w:p>
    <w:p w14:paraId="37813914">
      <w:pPr>
        <w:numPr>
          <w:ilvl w:val="0"/>
          <w:numId w:val="4"/>
        </w:numPr>
        <w:spacing w:line="380" w:lineRule="atLeast"/>
        <w:outlineLvl w:val="0"/>
        <w:rPr>
          <w:rFonts w:eastAsia="楷体_GB2312"/>
          <w:b/>
          <w:sz w:val="24"/>
        </w:rPr>
      </w:pPr>
      <w:bookmarkStart w:id="554" w:name="_Toc107916195"/>
      <w:bookmarkEnd w:id="554"/>
      <w:bookmarkStart w:id="555" w:name="_Toc107916196"/>
      <w:bookmarkEnd w:id="555"/>
      <w:bookmarkStart w:id="556" w:name="_Toc146349293"/>
      <w:bookmarkEnd w:id="556"/>
      <w:bookmarkStart w:id="557" w:name="_Toc107916032"/>
      <w:bookmarkEnd w:id="557"/>
      <w:bookmarkStart w:id="558" w:name="_Toc107916033"/>
      <w:bookmarkEnd w:id="558"/>
      <w:bookmarkStart w:id="559" w:name="_Toc146349292"/>
      <w:bookmarkEnd w:id="559"/>
      <w:bookmarkStart w:id="560" w:name="_Toc110153453"/>
      <w:bookmarkStart w:id="561" w:name="_Toc111281808"/>
      <w:bookmarkStart w:id="562" w:name="_Toc373951558"/>
      <w:bookmarkStart w:id="563" w:name="_Toc1773"/>
      <w:bookmarkStart w:id="564" w:name="_Toc51277227"/>
      <w:r>
        <w:rPr>
          <w:rFonts w:eastAsia="楷体_GB2312"/>
          <w:b/>
          <w:sz w:val="24"/>
        </w:rPr>
        <w:t>税负</w:t>
      </w:r>
      <w:bookmarkStart w:id="565" w:name="_Toc92612942"/>
      <w:r>
        <w:rPr>
          <w:rFonts w:eastAsia="楷体_GB2312"/>
          <w:b/>
          <w:sz w:val="24"/>
        </w:rPr>
        <w:t>承担</w:t>
      </w:r>
      <w:bookmarkEnd w:id="560"/>
      <w:bookmarkEnd w:id="561"/>
      <w:bookmarkEnd w:id="562"/>
      <w:bookmarkEnd w:id="563"/>
      <w:bookmarkEnd w:id="564"/>
    </w:p>
    <w:bookmarkEnd w:id="565"/>
    <w:p w14:paraId="737795F8">
      <w:pPr>
        <w:tabs>
          <w:tab w:val="left" w:pos="1800"/>
          <w:tab w:val="left" w:pos="1980"/>
        </w:tabs>
        <w:spacing w:line="380" w:lineRule="atLeast"/>
        <w:rPr>
          <w:rFonts w:eastAsia="楷体_GB2312"/>
          <w:sz w:val="24"/>
        </w:rPr>
      </w:pPr>
    </w:p>
    <w:p w14:paraId="4DC145E7">
      <w:pPr>
        <w:spacing w:line="380" w:lineRule="atLeast"/>
        <w:ind w:left="420"/>
        <w:rPr>
          <w:rFonts w:eastAsia="楷体_GB2312"/>
          <w:bCs/>
          <w:color w:val="000000"/>
          <w:sz w:val="24"/>
        </w:rPr>
      </w:pPr>
      <w:r>
        <w:rPr>
          <w:rFonts w:eastAsia="楷体_GB2312"/>
          <w:bCs/>
          <w:color w:val="000000"/>
          <w:sz w:val="24"/>
        </w:rPr>
        <w:t>双方同意在</w:t>
      </w:r>
      <w:r>
        <w:rPr>
          <w:rFonts w:eastAsia="楷体_GB2312"/>
          <w:color w:val="000000"/>
          <w:sz w:val="24"/>
        </w:rPr>
        <w:t>“</w:t>
      </w:r>
      <w:r>
        <w:rPr>
          <w:rFonts w:eastAsia="楷体_GB2312"/>
          <w:bCs/>
          <w:color w:val="000000"/>
          <w:sz w:val="24"/>
        </w:rPr>
        <w:t>信托</w:t>
      </w:r>
      <w:r>
        <w:rPr>
          <w:rFonts w:eastAsia="楷体_GB2312"/>
          <w:color w:val="000000"/>
          <w:sz w:val="24"/>
        </w:rPr>
        <w:t>”</w:t>
      </w:r>
      <w:r>
        <w:rPr>
          <w:rFonts w:eastAsia="楷体_GB2312"/>
          <w:bCs/>
          <w:color w:val="000000"/>
          <w:sz w:val="24"/>
        </w:rPr>
        <w:t>设立、</w:t>
      </w:r>
      <w:r>
        <w:rPr>
          <w:rFonts w:eastAsia="楷体_GB2312"/>
          <w:color w:val="000000"/>
          <w:sz w:val="24"/>
        </w:rPr>
        <w:t>“</w:t>
      </w:r>
      <w:r>
        <w:rPr>
          <w:rFonts w:eastAsia="楷体_GB2312"/>
          <w:bCs/>
          <w:color w:val="000000"/>
          <w:sz w:val="24"/>
        </w:rPr>
        <w:t>信托财产</w:t>
      </w:r>
      <w:r>
        <w:rPr>
          <w:rFonts w:eastAsia="楷体_GB2312"/>
          <w:color w:val="000000"/>
          <w:sz w:val="24"/>
        </w:rPr>
        <w:t>”</w:t>
      </w:r>
      <w:r>
        <w:rPr>
          <w:rFonts w:eastAsia="楷体_GB2312"/>
          <w:bCs/>
          <w:color w:val="000000"/>
          <w:sz w:val="24"/>
        </w:rPr>
        <w:t>的管理和运用、处分、</w:t>
      </w:r>
      <w:r>
        <w:rPr>
          <w:rFonts w:eastAsia="楷体_GB2312"/>
          <w:color w:val="000000"/>
          <w:sz w:val="24"/>
        </w:rPr>
        <w:t>“</w:t>
      </w:r>
      <w:r>
        <w:rPr>
          <w:rFonts w:eastAsia="楷体_GB2312"/>
          <w:bCs/>
          <w:color w:val="000000"/>
          <w:sz w:val="24"/>
        </w:rPr>
        <w:t>回收款</w:t>
      </w:r>
      <w:r>
        <w:rPr>
          <w:rFonts w:eastAsia="楷体_GB2312"/>
          <w:color w:val="000000"/>
          <w:sz w:val="24"/>
        </w:rPr>
        <w:t>”</w:t>
      </w:r>
      <w:r>
        <w:rPr>
          <w:rFonts w:eastAsia="楷体_GB2312"/>
          <w:bCs/>
          <w:color w:val="000000"/>
          <w:sz w:val="24"/>
        </w:rPr>
        <w:t>的分配、</w:t>
      </w:r>
      <w:r>
        <w:rPr>
          <w:rFonts w:eastAsia="楷体_GB2312"/>
          <w:color w:val="000000"/>
          <w:sz w:val="24"/>
        </w:rPr>
        <w:t>“</w:t>
      </w:r>
      <w:r>
        <w:rPr>
          <w:rFonts w:eastAsia="楷体_GB2312"/>
          <w:bCs/>
          <w:color w:val="000000"/>
          <w:sz w:val="24"/>
        </w:rPr>
        <w:t>信托</w:t>
      </w:r>
      <w:r>
        <w:rPr>
          <w:rFonts w:eastAsia="楷体_GB2312"/>
          <w:color w:val="000000"/>
          <w:sz w:val="24"/>
        </w:rPr>
        <w:t>”</w:t>
      </w:r>
      <w:r>
        <w:rPr>
          <w:rFonts w:eastAsia="楷体_GB2312"/>
          <w:bCs/>
          <w:color w:val="000000"/>
          <w:sz w:val="24"/>
        </w:rPr>
        <w:t>清算等过程中发生的“税收”，由双方按照</w:t>
      </w:r>
      <w:r>
        <w:rPr>
          <w:rFonts w:eastAsia="楷体_GB2312"/>
          <w:color w:val="000000"/>
          <w:sz w:val="24"/>
        </w:rPr>
        <w:t>相关“中国</w:t>
      </w:r>
      <w:r>
        <w:rPr>
          <w:rFonts w:eastAsia="楷体_GB2312"/>
          <w:bCs/>
          <w:color w:val="000000"/>
          <w:sz w:val="24"/>
        </w:rPr>
        <w:t>法律</w:t>
      </w:r>
      <w:r>
        <w:rPr>
          <w:rFonts w:eastAsia="楷体_GB2312"/>
          <w:color w:val="000000"/>
          <w:sz w:val="24"/>
        </w:rPr>
        <w:t>”规定各自</w:t>
      </w:r>
      <w:r>
        <w:rPr>
          <w:rFonts w:eastAsia="楷体_GB2312"/>
          <w:bCs/>
          <w:color w:val="000000"/>
          <w:sz w:val="24"/>
        </w:rPr>
        <w:t>承担，按照</w:t>
      </w:r>
      <w:r>
        <w:rPr>
          <w:rFonts w:eastAsia="楷体_GB2312"/>
          <w:color w:val="000000"/>
          <w:sz w:val="24"/>
        </w:rPr>
        <w:t>相关“</w:t>
      </w:r>
      <w:r>
        <w:rPr>
          <w:rFonts w:eastAsia="楷体_GB2312"/>
          <w:bCs/>
          <w:color w:val="000000"/>
          <w:sz w:val="24"/>
        </w:rPr>
        <w:t>中国法律</w:t>
      </w:r>
      <w:r>
        <w:rPr>
          <w:rFonts w:eastAsia="楷体_GB2312"/>
          <w:color w:val="000000"/>
          <w:sz w:val="24"/>
        </w:rPr>
        <w:t>”规定应由“</w:t>
      </w:r>
      <w:r>
        <w:rPr>
          <w:rFonts w:eastAsia="楷体_GB2312"/>
          <w:bCs/>
          <w:color w:val="000000"/>
          <w:sz w:val="24"/>
        </w:rPr>
        <w:t>信托财产</w:t>
      </w:r>
      <w:r>
        <w:rPr>
          <w:rFonts w:eastAsia="楷体_GB2312"/>
          <w:color w:val="000000"/>
          <w:sz w:val="24"/>
        </w:rPr>
        <w:t>”</w:t>
      </w:r>
      <w:r>
        <w:rPr>
          <w:rFonts w:eastAsia="楷体_GB2312"/>
          <w:bCs/>
          <w:color w:val="000000"/>
          <w:sz w:val="24"/>
        </w:rPr>
        <w:t>承担的由</w:t>
      </w:r>
      <w:r>
        <w:rPr>
          <w:rFonts w:eastAsia="楷体_GB2312"/>
          <w:color w:val="000000"/>
          <w:sz w:val="24"/>
        </w:rPr>
        <w:t>“</w:t>
      </w:r>
      <w:r>
        <w:rPr>
          <w:rFonts w:eastAsia="楷体_GB2312"/>
          <w:bCs/>
          <w:color w:val="000000"/>
          <w:sz w:val="24"/>
        </w:rPr>
        <w:t>信托财产</w:t>
      </w:r>
      <w:r>
        <w:rPr>
          <w:rFonts w:eastAsia="楷体_GB2312"/>
          <w:color w:val="000000"/>
          <w:sz w:val="24"/>
        </w:rPr>
        <w:t>”</w:t>
      </w:r>
      <w:r>
        <w:rPr>
          <w:rFonts w:eastAsia="楷体_GB2312"/>
          <w:bCs/>
          <w:color w:val="000000"/>
          <w:sz w:val="24"/>
        </w:rPr>
        <w:t>承担。</w:t>
      </w:r>
    </w:p>
    <w:p w14:paraId="0AA37DAC">
      <w:pPr>
        <w:spacing w:line="380" w:lineRule="atLeast"/>
        <w:ind w:left="420"/>
        <w:rPr>
          <w:rFonts w:eastAsia="楷体_GB2312"/>
          <w:bCs/>
          <w:color w:val="000000"/>
          <w:sz w:val="24"/>
        </w:rPr>
      </w:pPr>
    </w:p>
    <w:p w14:paraId="3D18DF4A">
      <w:pPr>
        <w:spacing w:line="380" w:lineRule="atLeast"/>
        <w:ind w:left="420"/>
        <w:rPr>
          <w:rFonts w:eastAsia="楷体_GB2312"/>
          <w:color w:val="000000"/>
          <w:sz w:val="24"/>
        </w:rPr>
      </w:pPr>
      <w:r>
        <w:rPr>
          <w:rFonts w:eastAsia="楷体_GB2312"/>
          <w:color w:val="000000"/>
          <w:sz w:val="24"/>
        </w:rPr>
        <w:t>为免疑义，本协议涉及的各项费用、各机构的报酬等金额均包含增值税，增值税无须由费用支付方额外支付。如支付方要求提供发票，则收款方应根据支付方提供的抬头信息自收到相关款项后【】个“工作日”内向相应支付方提供发票票面金额与其收到的款项金额相等的符合“中国法律”相关规定和支付方要求的增值税专用发票。</w:t>
      </w:r>
    </w:p>
    <w:p w14:paraId="7E3AEF5F">
      <w:pPr>
        <w:pStyle w:val="78"/>
        <w:spacing w:line="360" w:lineRule="auto"/>
        <w:ind w:left="425" w:firstLine="0" w:firstLineChars="0"/>
        <w:rPr>
          <w:rFonts w:eastAsia="楷体_GB2312"/>
          <w:b/>
          <w:i/>
          <w:iCs/>
          <w:color w:val="FF0000"/>
          <w:kern w:val="2"/>
          <w:sz w:val="24"/>
          <w:szCs w:val="24"/>
        </w:rPr>
      </w:pPr>
      <w:r>
        <w:rPr>
          <w:rFonts w:hint="eastAsia" w:eastAsia="楷体_GB2312"/>
          <w:b/>
          <w:i/>
          <w:iCs/>
          <w:color w:val="FF0000"/>
          <w:kern w:val="2"/>
          <w:sz w:val="24"/>
          <w:szCs w:val="24"/>
        </w:rPr>
        <w:t>【注：关于税收条款按当时所适用的“中国法律”适用和执行，可结合项目实际情况就税收种类以及承担方式等予以具体化进一步在合同中进行明确。】</w:t>
      </w:r>
    </w:p>
    <w:p w14:paraId="35FE1961">
      <w:pPr>
        <w:autoSpaceDE w:val="0"/>
        <w:autoSpaceDN w:val="0"/>
        <w:adjustRightInd w:val="0"/>
        <w:spacing w:line="380" w:lineRule="atLeast"/>
        <w:rPr>
          <w:rFonts w:eastAsia="楷体_GB2312"/>
          <w:sz w:val="24"/>
        </w:rPr>
      </w:pPr>
    </w:p>
    <w:p w14:paraId="70208077">
      <w:pPr>
        <w:numPr>
          <w:ilvl w:val="0"/>
          <w:numId w:val="4"/>
        </w:numPr>
        <w:spacing w:line="380" w:lineRule="atLeast"/>
        <w:outlineLvl w:val="0"/>
        <w:rPr>
          <w:rFonts w:eastAsia="楷体_GB2312"/>
          <w:b/>
          <w:color w:val="000000"/>
          <w:sz w:val="24"/>
        </w:rPr>
      </w:pPr>
      <w:bookmarkStart w:id="566" w:name="_Toc110153454"/>
      <w:bookmarkStart w:id="567" w:name="_Ref173768296"/>
      <w:bookmarkStart w:id="568" w:name="_Toc373951559"/>
      <w:bookmarkStart w:id="569" w:name="_Toc51277228"/>
      <w:bookmarkStart w:id="570" w:name="_Toc16954"/>
      <w:bookmarkStart w:id="571" w:name="_Toc111281809"/>
      <w:r>
        <w:rPr>
          <w:rFonts w:eastAsia="楷体_GB2312"/>
          <w:b/>
          <w:sz w:val="24"/>
        </w:rPr>
        <w:t>资产支持证券持有人大会</w:t>
      </w:r>
      <w:bookmarkEnd w:id="566"/>
      <w:r>
        <w:rPr>
          <w:rFonts w:eastAsia="楷体_GB2312"/>
          <w:b/>
          <w:sz w:val="24"/>
        </w:rPr>
        <w:t>组成与权利</w:t>
      </w:r>
      <w:bookmarkEnd w:id="567"/>
      <w:bookmarkEnd w:id="568"/>
      <w:bookmarkEnd w:id="569"/>
      <w:bookmarkEnd w:id="570"/>
      <w:bookmarkEnd w:id="571"/>
    </w:p>
    <w:p w14:paraId="29ED5A74">
      <w:pPr>
        <w:spacing w:line="360" w:lineRule="auto"/>
        <w:ind w:left="420"/>
        <w:rPr>
          <w:rFonts w:eastAsia="楷体_GB2312"/>
          <w:b/>
          <w:bCs/>
          <w:i/>
          <w:iCs/>
          <w:color w:val="FF0000"/>
          <w:kern w:val="2"/>
          <w:sz w:val="24"/>
          <w:szCs w:val="24"/>
        </w:rPr>
      </w:pPr>
      <w:r>
        <w:rPr>
          <w:rFonts w:eastAsia="楷体_GB2312"/>
          <w:b/>
          <w:bCs/>
          <w:i/>
          <w:iCs/>
          <w:color w:val="FF0000"/>
          <w:kern w:val="2"/>
          <w:sz w:val="24"/>
          <w:szCs w:val="24"/>
        </w:rPr>
        <w:t>【注：本款“资产支持持有人大会的组成与权利”仅供参考。特别是表决机制条款，建议结合每个项目分层结果比例，合理设置表决权，</w:t>
      </w:r>
      <w:r>
        <w:rPr>
          <w:rFonts w:hint="eastAsia" w:eastAsia="楷体_GB2312"/>
          <w:b/>
          <w:bCs/>
          <w:i/>
          <w:iCs/>
          <w:color w:val="FF0000"/>
          <w:kern w:val="2"/>
          <w:sz w:val="24"/>
          <w:szCs w:val="24"/>
        </w:rPr>
        <w:t>在</w:t>
      </w:r>
      <w:r>
        <w:rPr>
          <w:rFonts w:eastAsia="楷体_GB2312"/>
          <w:b/>
          <w:bCs/>
          <w:i/>
          <w:iCs/>
          <w:color w:val="FF0000"/>
          <w:kern w:val="2"/>
          <w:sz w:val="24"/>
          <w:szCs w:val="24"/>
        </w:rPr>
        <w:t>优先考虑和满足优先级的利益的同时，也适当平衡次级的利益。】</w:t>
      </w:r>
    </w:p>
    <w:p w14:paraId="11B3EC7C">
      <w:pPr>
        <w:spacing w:line="360" w:lineRule="auto"/>
        <w:rPr>
          <w:rFonts w:eastAsia="楷体_GB2312"/>
          <w:b/>
          <w:bCs/>
          <w:i/>
          <w:iCs/>
          <w:color w:val="FF0000"/>
          <w:kern w:val="2"/>
          <w:sz w:val="24"/>
          <w:szCs w:val="24"/>
        </w:rPr>
      </w:pPr>
    </w:p>
    <w:p w14:paraId="3E840A71">
      <w:pPr>
        <w:numPr>
          <w:ilvl w:val="1"/>
          <w:numId w:val="4"/>
        </w:numPr>
        <w:spacing w:line="380" w:lineRule="atLeast"/>
        <w:outlineLvl w:val="1"/>
        <w:rPr>
          <w:rFonts w:eastAsia="楷体_GB2312"/>
          <w:b/>
          <w:sz w:val="24"/>
        </w:rPr>
      </w:pPr>
      <w:bookmarkStart w:id="572" w:name="_Toc111281810"/>
      <w:r>
        <w:rPr>
          <w:rFonts w:eastAsia="楷体_GB2312"/>
          <w:b/>
          <w:sz w:val="24"/>
        </w:rPr>
        <w:t>组成</w:t>
      </w:r>
      <w:bookmarkEnd w:id="572"/>
    </w:p>
    <w:p w14:paraId="6A917022">
      <w:pPr>
        <w:autoSpaceDE w:val="0"/>
        <w:autoSpaceDN w:val="0"/>
        <w:adjustRightInd w:val="0"/>
        <w:spacing w:line="380" w:lineRule="atLeast"/>
        <w:jc w:val="left"/>
        <w:rPr>
          <w:rFonts w:eastAsia="楷体_GB2312"/>
          <w:sz w:val="24"/>
        </w:rPr>
      </w:pPr>
    </w:p>
    <w:p w14:paraId="6887B572">
      <w:pPr>
        <w:spacing w:line="380" w:lineRule="atLeast"/>
        <w:ind w:left="992"/>
        <w:rPr>
          <w:rFonts w:eastAsia="楷体_GB2312"/>
          <w:sz w:val="24"/>
        </w:rPr>
      </w:pPr>
      <w:r>
        <w:rPr>
          <w:rFonts w:eastAsia="楷体_GB2312"/>
          <w:sz w:val="24"/>
        </w:rPr>
        <w:t>各类别“资产支持证券持有人”分别组成该类别“资产支持证券持有人大会”，即【“优先A档资产支持证券持有人”组成“优先A档资产支持证券持有人大会”，“优先B档资产支持证券持有人”组成“优先B档资产支持证券持有人大会”，“次级资产支持证券持有人”组成“次级资产支持证券持有人大会”】。通过购买“发行人”所发行的相关类别“资产支持证券”或在银行间债券市场通过交易购得相关类别的“资产支持证券”的“资产支持证券持有人”，自动成为该类别“资产支持证券持有人大会”的成员。</w:t>
      </w:r>
    </w:p>
    <w:p w14:paraId="3948C23D">
      <w:pPr>
        <w:tabs>
          <w:tab w:val="left" w:pos="2160"/>
        </w:tabs>
        <w:spacing w:line="360" w:lineRule="auto"/>
        <w:ind w:left="900" w:firstLine="92"/>
        <w:rPr>
          <w:rFonts w:eastAsia="楷体_GB2312"/>
          <w:b/>
          <w:i/>
          <w:iCs/>
          <w:color w:val="FF0000"/>
          <w:kern w:val="2"/>
          <w:sz w:val="24"/>
          <w:szCs w:val="24"/>
        </w:rPr>
      </w:pPr>
      <w:r>
        <w:rPr>
          <w:rFonts w:eastAsia="楷体_GB2312"/>
          <w:b/>
          <w:i/>
          <w:iCs/>
          <w:color w:val="FF0000"/>
          <w:kern w:val="2"/>
          <w:sz w:val="24"/>
          <w:szCs w:val="24"/>
        </w:rPr>
        <w:t>【注：此处可根据证券分层结果细分。】</w:t>
      </w:r>
    </w:p>
    <w:p w14:paraId="3750603F">
      <w:pPr>
        <w:autoSpaceDE w:val="0"/>
        <w:autoSpaceDN w:val="0"/>
        <w:adjustRightInd w:val="0"/>
        <w:spacing w:line="380" w:lineRule="atLeast"/>
        <w:jc w:val="left"/>
        <w:rPr>
          <w:rFonts w:eastAsia="楷体_GB2312"/>
          <w:sz w:val="24"/>
        </w:rPr>
      </w:pPr>
    </w:p>
    <w:p w14:paraId="218932AC">
      <w:pPr>
        <w:numPr>
          <w:ilvl w:val="1"/>
          <w:numId w:val="4"/>
        </w:numPr>
        <w:spacing w:line="380" w:lineRule="exact"/>
        <w:outlineLvl w:val="1"/>
        <w:rPr>
          <w:rFonts w:eastAsia="楷体_GB2312"/>
          <w:b/>
          <w:sz w:val="24"/>
        </w:rPr>
      </w:pPr>
      <w:bookmarkStart w:id="573" w:name="_Ref122640006"/>
      <w:bookmarkStart w:id="574" w:name="_Toc151554358"/>
      <w:bookmarkStart w:id="575" w:name="_Toc152168748"/>
      <w:bookmarkStart w:id="576" w:name="_Ref122639974"/>
      <w:bookmarkStart w:id="577" w:name="_Toc152168192"/>
      <w:bookmarkStart w:id="578" w:name="_Toc172736602"/>
      <w:bookmarkStart w:id="579" w:name="_Toc111281811"/>
      <w:r>
        <w:rPr>
          <w:rFonts w:eastAsia="楷体_GB2312"/>
          <w:b/>
          <w:sz w:val="24"/>
        </w:rPr>
        <w:t>会议召集</w:t>
      </w:r>
      <w:bookmarkEnd w:id="573"/>
      <w:bookmarkEnd w:id="574"/>
      <w:bookmarkEnd w:id="575"/>
      <w:bookmarkEnd w:id="576"/>
      <w:bookmarkEnd w:id="577"/>
      <w:bookmarkEnd w:id="578"/>
    </w:p>
    <w:p w14:paraId="2769A589">
      <w:pPr>
        <w:tabs>
          <w:tab w:val="left" w:pos="1571"/>
        </w:tabs>
        <w:autoSpaceDE w:val="0"/>
        <w:autoSpaceDN w:val="0"/>
        <w:adjustRightInd w:val="0"/>
        <w:spacing w:line="380" w:lineRule="exact"/>
        <w:ind w:left="1620" w:hanging="769"/>
        <w:jc w:val="left"/>
        <w:rPr>
          <w:rFonts w:eastAsia="楷体_GB2312"/>
          <w:sz w:val="24"/>
        </w:rPr>
      </w:pPr>
    </w:p>
    <w:p w14:paraId="1B004353">
      <w:pPr>
        <w:numPr>
          <w:ilvl w:val="2"/>
          <w:numId w:val="4"/>
        </w:numPr>
        <w:spacing w:line="380" w:lineRule="atLeast"/>
        <w:rPr>
          <w:rFonts w:eastAsia="楷体_GB2312"/>
          <w:sz w:val="24"/>
        </w:rPr>
      </w:pPr>
      <w:r>
        <w:rPr>
          <w:rFonts w:eastAsia="楷体_GB2312"/>
          <w:sz w:val="24"/>
        </w:rPr>
        <w:t>“资产支持证券持有人大会”为不定期会议。</w:t>
      </w:r>
    </w:p>
    <w:p w14:paraId="742396B9">
      <w:pPr>
        <w:tabs>
          <w:tab w:val="left" w:pos="1800"/>
          <w:tab w:val="left" w:pos="1980"/>
        </w:tabs>
        <w:spacing w:line="380" w:lineRule="exact"/>
        <w:ind w:left="1080"/>
        <w:rPr>
          <w:rFonts w:eastAsia="楷体_GB2312"/>
          <w:sz w:val="24"/>
        </w:rPr>
      </w:pPr>
    </w:p>
    <w:p w14:paraId="145A33AA">
      <w:pPr>
        <w:numPr>
          <w:ilvl w:val="2"/>
          <w:numId w:val="4"/>
        </w:numPr>
        <w:tabs>
          <w:tab w:val="left" w:pos="900"/>
        </w:tabs>
        <w:spacing w:line="380" w:lineRule="atLeast"/>
        <w:ind w:left="1620" w:hanging="769"/>
        <w:rPr>
          <w:rFonts w:eastAsia="楷体_GB2312"/>
          <w:sz w:val="24"/>
        </w:rPr>
      </w:pPr>
      <w:bookmarkStart w:id="580" w:name="_Ref51361462"/>
      <w:r>
        <w:rPr>
          <w:rFonts w:eastAsia="楷体_GB2312"/>
          <w:sz w:val="24"/>
        </w:rPr>
        <w:t>“资产支持证券持有人大会”由“受托人”召集。发生下列事由之一的，“受托人”应召集“资产支持证券持有人大会”：</w:t>
      </w:r>
      <w:bookmarkEnd w:id="580"/>
    </w:p>
    <w:p w14:paraId="637CCF5B">
      <w:pPr>
        <w:tabs>
          <w:tab w:val="left" w:pos="1800"/>
          <w:tab w:val="left" w:pos="1980"/>
        </w:tabs>
        <w:spacing w:line="380" w:lineRule="exact"/>
        <w:rPr>
          <w:rFonts w:eastAsia="楷体_GB2312"/>
          <w:sz w:val="24"/>
        </w:rPr>
      </w:pPr>
    </w:p>
    <w:p w14:paraId="462BC4A7">
      <w:pPr>
        <w:pStyle w:val="78"/>
        <w:numPr>
          <w:ilvl w:val="0"/>
          <w:numId w:val="27"/>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发生“受托人解任事件”、“受托人辞任事件”、“贷款服务机构解任事件”或“资金保管机构解任事件”，须根据“交易文件”更换“受托人”、“贷款服务机构”或“资金保管机构”；</w:t>
      </w:r>
    </w:p>
    <w:p w14:paraId="18241868">
      <w:pPr>
        <w:tabs>
          <w:tab w:val="left" w:pos="1800"/>
          <w:tab w:val="left" w:pos="1980"/>
        </w:tabs>
        <w:spacing w:line="380" w:lineRule="exact"/>
        <w:ind w:left="1276"/>
        <w:rPr>
          <w:rFonts w:eastAsia="楷体_GB2312"/>
          <w:sz w:val="24"/>
        </w:rPr>
      </w:pPr>
    </w:p>
    <w:p w14:paraId="3BC90A2D">
      <w:pPr>
        <w:pStyle w:val="78"/>
        <w:numPr>
          <w:ilvl w:val="0"/>
          <w:numId w:val="27"/>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“《信托合同》”或其他“交易文件”的终止或重大修改，但该等修改属于微小的技术性改动或是根据适用“中国法律”或者监管机关的强制性要求而做出的除外；</w:t>
      </w:r>
    </w:p>
    <w:p w14:paraId="2A982343">
      <w:pPr>
        <w:tabs>
          <w:tab w:val="left" w:pos="1800"/>
          <w:tab w:val="left" w:pos="1980"/>
        </w:tabs>
        <w:spacing w:line="380" w:lineRule="exact"/>
        <w:ind w:left="1876"/>
        <w:rPr>
          <w:rFonts w:eastAsia="楷体_GB2312"/>
          <w:sz w:val="24"/>
        </w:rPr>
      </w:pPr>
    </w:p>
    <w:p w14:paraId="298D7CAF">
      <w:pPr>
        <w:pStyle w:val="78"/>
        <w:numPr>
          <w:ilvl w:val="0"/>
          <w:numId w:val="27"/>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发生任何“加速清偿事件”中的【（）】项至【（）】项或发生任何“违约事件”；</w:t>
      </w:r>
    </w:p>
    <w:p w14:paraId="33F51A05">
      <w:pPr>
        <w:tabs>
          <w:tab w:val="left" w:pos="2160"/>
        </w:tabs>
        <w:spacing w:line="360" w:lineRule="auto"/>
        <w:ind w:left="1985"/>
        <w:rPr>
          <w:rFonts w:eastAsia="楷体_GB2312"/>
          <w:b/>
          <w:i/>
          <w:iCs/>
          <w:color w:val="FF0000"/>
          <w:kern w:val="2"/>
          <w:sz w:val="24"/>
          <w:szCs w:val="24"/>
        </w:rPr>
      </w:pPr>
      <w:r>
        <w:rPr>
          <w:rFonts w:eastAsia="楷体_GB2312"/>
          <w:b/>
          <w:i/>
          <w:iCs/>
          <w:color w:val="FF0000"/>
          <w:kern w:val="2"/>
          <w:sz w:val="24"/>
          <w:szCs w:val="24"/>
        </w:rPr>
        <w:t>【注：宣布加速清偿事件和违约事件的发生，可根据项目安排进行调整。】</w:t>
      </w:r>
    </w:p>
    <w:p w14:paraId="5CF4007D">
      <w:pPr>
        <w:tabs>
          <w:tab w:val="left" w:pos="1800"/>
          <w:tab w:val="left" w:pos="1980"/>
        </w:tabs>
        <w:spacing w:line="380" w:lineRule="exact"/>
        <w:rPr>
          <w:rFonts w:eastAsia="楷体_GB2312"/>
          <w:sz w:val="24"/>
        </w:rPr>
      </w:pPr>
    </w:p>
    <w:p w14:paraId="17C3B0FA">
      <w:pPr>
        <w:pStyle w:val="78"/>
        <w:numPr>
          <w:ilvl w:val="0"/>
          <w:numId w:val="27"/>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本合同第</w:t>
      </w:r>
      <w:r>
        <w:rPr>
          <w:rFonts w:eastAsia="楷体_GB2312"/>
          <w:sz w:val="24"/>
        </w:rPr>
        <w:fldChar w:fldCharType="begin"/>
      </w:r>
      <w:r>
        <w:rPr>
          <w:rFonts w:eastAsia="楷体_GB2312"/>
          <w:sz w:val="24"/>
        </w:rPr>
        <w:instrText xml:space="preserve"> REF _Ref51239474 \r \h  \* MERGEFORMAT </w:instrText>
      </w:r>
      <w:r>
        <w:rPr>
          <w:rFonts w:eastAsia="楷体_GB2312"/>
          <w:sz w:val="24"/>
        </w:rPr>
        <w:fldChar w:fldCharType="separate"/>
      </w:r>
      <w:r>
        <w:rPr>
          <w:rFonts w:eastAsia="楷体_GB2312"/>
          <w:sz w:val="24"/>
        </w:rPr>
        <w:t>18.5</w:t>
      </w:r>
      <w:r>
        <w:rPr>
          <w:rFonts w:eastAsia="楷体_GB2312"/>
          <w:sz w:val="24"/>
        </w:rPr>
        <w:fldChar w:fldCharType="end"/>
      </w:r>
      <w:r>
        <w:rPr>
          <w:rFonts w:eastAsia="楷体_GB2312"/>
          <w:sz w:val="24"/>
        </w:rPr>
        <w:t>款至第</w:t>
      </w:r>
      <w:r>
        <w:rPr>
          <w:rFonts w:eastAsia="楷体_GB2312"/>
          <w:sz w:val="24"/>
        </w:rPr>
        <w:fldChar w:fldCharType="begin"/>
      </w:r>
      <w:r>
        <w:rPr>
          <w:rFonts w:eastAsia="楷体_GB2312"/>
          <w:sz w:val="24"/>
        </w:rPr>
        <w:instrText xml:space="preserve"> REF _Ref51239483 \r \h  \* MERGEFORMAT </w:instrText>
      </w:r>
      <w:r>
        <w:rPr>
          <w:rFonts w:eastAsia="楷体_GB2312"/>
          <w:sz w:val="24"/>
        </w:rPr>
        <w:fldChar w:fldCharType="separate"/>
      </w:r>
      <w:r>
        <w:rPr>
          <w:rFonts w:eastAsia="楷体_GB2312"/>
          <w:sz w:val="24"/>
        </w:rPr>
        <w:t>18.7</w:t>
      </w:r>
      <w:r>
        <w:rPr>
          <w:rFonts w:eastAsia="楷体_GB2312"/>
          <w:sz w:val="24"/>
        </w:rPr>
        <w:fldChar w:fldCharType="end"/>
      </w:r>
      <w:r>
        <w:rPr>
          <w:rFonts w:eastAsia="楷体_GB2312"/>
          <w:sz w:val="24"/>
        </w:rPr>
        <w:t>款约定的决议事项；</w:t>
      </w:r>
    </w:p>
    <w:p w14:paraId="49691A12">
      <w:pPr>
        <w:tabs>
          <w:tab w:val="left" w:pos="1800"/>
          <w:tab w:val="left" w:pos="1980"/>
          <w:tab w:val="left" w:pos="2296"/>
        </w:tabs>
        <w:spacing w:line="380" w:lineRule="exact"/>
        <w:ind w:left="2296"/>
        <w:rPr>
          <w:rFonts w:eastAsia="楷体_GB2312"/>
          <w:sz w:val="24"/>
        </w:rPr>
      </w:pPr>
    </w:p>
    <w:p w14:paraId="601A07AB">
      <w:pPr>
        <w:pStyle w:val="78"/>
        <w:numPr>
          <w:ilvl w:val="0"/>
          <w:numId w:val="27"/>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其他“受托人”认为应由“资产支持证券持有人大会”决议的事项。</w:t>
      </w:r>
    </w:p>
    <w:p w14:paraId="61A510DF">
      <w:pPr>
        <w:tabs>
          <w:tab w:val="left" w:pos="2160"/>
        </w:tabs>
        <w:spacing w:line="360" w:lineRule="auto"/>
        <w:ind w:left="1985"/>
        <w:rPr>
          <w:rFonts w:eastAsia="楷体_GB2312"/>
          <w:b/>
          <w:i/>
          <w:iCs/>
          <w:color w:val="FF0000"/>
          <w:kern w:val="2"/>
          <w:sz w:val="24"/>
          <w:szCs w:val="24"/>
        </w:rPr>
      </w:pPr>
      <w:r>
        <w:rPr>
          <w:rFonts w:eastAsia="楷体_GB2312"/>
          <w:b/>
          <w:i/>
          <w:iCs/>
          <w:color w:val="FF0000"/>
          <w:kern w:val="2"/>
          <w:sz w:val="24"/>
          <w:szCs w:val="24"/>
        </w:rPr>
        <w:t>【注：召开资产支持证券持有人大会的事由，可根据项目实际情况进行调整。】</w:t>
      </w:r>
    </w:p>
    <w:p w14:paraId="14852E7B">
      <w:pPr>
        <w:tabs>
          <w:tab w:val="left" w:pos="1800"/>
          <w:tab w:val="left" w:pos="1980"/>
        </w:tabs>
        <w:spacing w:line="380" w:lineRule="exact"/>
        <w:rPr>
          <w:rFonts w:eastAsia="楷体_GB2312"/>
          <w:sz w:val="24"/>
        </w:rPr>
      </w:pPr>
    </w:p>
    <w:p w14:paraId="5454D4A3">
      <w:pPr>
        <w:numPr>
          <w:ilvl w:val="2"/>
          <w:numId w:val="4"/>
        </w:numPr>
        <w:tabs>
          <w:tab w:val="left" w:pos="900"/>
        </w:tabs>
        <w:spacing w:line="380" w:lineRule="atLeast"/>
        <w:ind w:left="1620" w:hanging="769"/>
        <w:rPr>
          <w:rFonts w:eastAsia="楷体_GB2312"/>
          <w:sz w:val="24"/>
        </w:rPr>
      </w:pPr>
      <w:bookmarkStart w:id="581" w:name="_Ref161630723"/>
      <w:r>
        <w:rPr>
          <w:rFonts w:eastAsia="楷体_GB2312"/>
          <w:sz w:val="24"/>
        </w:rPr>
        <w:t>就每一类别的“资产支持证券持有人”组成的“资产支持证券持有人大会”而言，单独或合计持有本类别“资产支持证券”“未偿本金余额”【】%或以上的“资产支持证券持有人”，为“资产支持证券持有人”的共同利益事项，可以请求“受托人”召集“资产支持证券持有人大会”。提议“受托人”召集大会的“资产支持证券持有人”应提交书面召集大会申请，该申请应载明提议事项及理由。</w:t>
      </w:r>
      <w:bookmarkEnd w:id="581"/>
    </w:p>
    <w:p w14:paraId="556E54A5">
      <w:pPr>
        <w:tabs>
          <w:tab w:val="left" w:pos="425"/>
          <w:tab w:val="left" w:pos="900"/>
          <w:tab w:val="left" w:pos="1571"/>
        </w:tabs>
        <w:spacing w:line="380" w:lineRule="atLeast"/>
        <w:ind w:left="1620"/>
        <w:rPr>
          <w:rFonts w:eastAsia="楷体_GB2312"/>
          <w:sz w:val="24"/>
        </w:rPr>
      </w:pPr>
      <w:r>
        <w:rPr>
          <w:rFonts w:hint="eastAsia" w:eastAsia="楷体_GB2312"/>
          <w:b/>
          <w:bCs/>
          <w:i/>
          <w:iCs/>
          <w:color w:val="FF0000"/>
          <w:sz w:val="24"/>
        </w:rPr>
        <w:t>【注：在</w:t>
      </w:r>
      <w:r>
        <w:rPr>
          <w:rFonts w:eastAsia="楷体_GB2312"/>
          <w:b/>
          <w:bCs/>
          <w:i/>
          <w:iCs/>
          <w:color w:val="FF0000"/>
          <w:sz w:val="24"/>
        </w:rPr>
        <w:t>“</w:t>
      </w:r>
      <w:r>
        <w:rPr>
          <w:rFonts w:hint="eastAsia" w:eastAsia="楷体_GB2312"/>
          <w:b/>
          <w:bCs/>
          <w:i/>
          <w:iCs/>
          <w:color w:val="FF0000"/>
          <w:sz w:val="24"/>
        </w:rPr>
        <w:t>次级资产支持证券</w:t>
      </w:r>
      <w:r>
        <w:rPr>
          <w:rFonts w:eastAsia="楷体_GB2312"/>
          <w:b/>
          <w:bCs/>
          <w:i/>
          <w:iCs/>
          <w:color w:val="FF0000"/>
          <w:sz w:val="24"/>
        </w:rPr>
        <w:t>”</w:t>
      </w:r>
      <w:r>
        <w:rPr>
          <w:rFonts w:hint="eastAsia" w:eastAsia="楷体_GB2312"/>
          <w:b/>
          <w:bCs/>
          <w:i/>
          <w:iCs/>
          <w:color w:val="FF0000"/>
          <w:sz w:val="24"/>
        </w:rPr>
        <w:t>的本金全部兑付完毕后，如仍需召开</w:t>
      </w:r>
      <w:r>
        <w:rPr>
          <w:rFonts w:eastAsia="楷体_GB2312"/>
          <w:b/>
          <w:bCs/>
          <w:i/>
          <w:iCs/>
          <w:color w:val="FF0000"/>
          <w:sz w:val="24"/>
        </w:rPr>
        <w:t>“</w:t>
      </w:r>
      <w:r>
        <w:rPr>
          <w:rFonts w:hint="eastAsia" w:eastAsia="楷体_GB2312"/>
          <w:b/>
          <w:bCs/>
          <w:i/>
          <w:iCs/>
          <w:color w:val="FF0000"/>
          <w:sz w:val="24"/>
        </w:rPr>
        <w:t>资产支持证券持有人大会</w:t>
      </w:r>
      <w:r>
        <w:rPr>
          <w:rFonts w:eastAsia="楷体_GB2312"/>
          <w:b/>
          <w:bCs/>
          <w:i/>
          <w:iCs/>
          <w:color w:val="FF0000"/>
          <w:sz w:val="24"/>
        </w:rPr>
        <w:t>”</w:t>
      </w:r>
      <w:r>
        <w:rPr>
          <w:rFonts w:hint="eastAsia" w:eastAsia="楷体_GB2312"/>
          <w:b/>
          <w:bCs/>
          <w:i/>
          <w:iCs/>
          <w:color w:val="FF0000"/>
          <w:sz w:val="24"/>
        </w:rPr>
        <w:t>的，可考虑补充约定：本合同中关于</w:t>
      </w:r>
      <w:r>
        <w:rPr>
          <w:rFonts w:eastAsia="楷体_GB2312"/>
          <w:b/>
          <w:bCs/>
          <w:i/>
          <w:iCs/>
          <w:color w:val="FF0000"/>
          <w:sz w:val="24"/>
        </w:rPr>
        <w:t>“</w:t>
      </w:r>
      <w:r>
        <w:rPr>
          <w:rFonts w:hint="eastAsia" w:eastAsia="楷体_GB2312"/>
          <w:b/>
          <w:bCs/>
          <w:i/>
          <w:iCs/>
          <w:color w:val="FF0000"/>
          <w:sz w:val="24"/>
        </w:rPr>
        <w:t>资产支持证券持有人</w:t>
      </w:r>
      <w:r>
        <w:rPr>
          <w:rFonts w:eastAsia="楷体_GB2312"/>
          <w:b/>
          <w:bCs/>
          <w:i/>
          <w:iCs/>
          <w:color w:val="FF0000"/>
          <w:sz w:val="24"/>
        </w:rPr>
        <w:t>”</w:t>
      </w:r>
      <w:r>
        <w:rPr>
          <w:rFonts w:hint="eastAsia" w:eastAsia="楷体_GB2312"/>
          <w:b/>
          <w:bCs/>
          <w:i/>
          <w:iCs/>
          <w:color w:val="FF0000"/>
          <w:sz w:val="24"/>
        </w:rPr>
        <w:t>召集、出席、表决的比例均以届时</w:t>
      </w:r>
      <w:r>
        <w:rPr>
          <w:rFonts w:eastAsia="楷体_GB2312"/>
          <w:b/>
          <w:bCs/>
          <w:i/>
          <w:iCs/>
          <w:color w:val="FF0000"/>
          <w:sz w:val="24"/>
        </w:rPr>
        <w:t>“</w:t>
      </w:r>
      <w:r>
        <w:rPr>
          <w:rFonts w:hint="eastAsia" w:eastAsia="楷体_GB2312"/>
          <w:b/>
          <w:bCs/>
          <w:i/>
          <w:iCs/>
          <w:color w:val="FF0000"/>
          <w:sz w:val="24"/>
        </w:rPr>
        <w:t>登记托管机构</w:t>
      </w:r>
      <w:r>
        <w:rPr>
          <w:rFonts w:eastAsia="楷体_GB2312"/>
          <w:b/>
          <w:bCs/>
          <w:i/>
          <w:iCs/>
          <w:color w:val="FF0000"/>
          <w:sz w:val="24"/>
        </w:rPr>
        <w:t>”</w:t>
      </w:r>
      <w:r>
        <w:rPr>
          <w:rFonts w:hint="eastAsia" w:eastAsia="楷体_GB2312"/>
          <w:b/>
          <w:bCs/>
          <w:i/>
          <w:iCs/>
          <w:color w:val="FF0000"/>
          <w:sz w:val="24"/>
        </w:rPr>
        <w:t>记载的各</w:t>
      </w:r>
      <w:r>
        <w:rPr>
          <w:rFonts w:eastAsia="楷体_GB2312"/>
          <w:b/>
          <w:bCs/>
          <w:i/>
          <w:iCs/>
          <w:color w:val="FF0000"/>
          <w:sz w:val="24"/>
        </w:rPr>
        <w:t>“</w:t>
      </w:r>
      <w:r>
        <w:rPr>
          <w:rFonts w:hint="eastAsia" w:eastAsia="楷体_GB2312"/>
          <w:b/>
          <w:bCs/>
          <w:i/>
          <w:iCs/>
          <w:color w:val="FF0000"/>
          <w:sz w:val="24"/>
        </w:rPr>
        <w:t>次级资产支持证券持有人</w:t>
      </w:r>
      <w:r>
        <w:rPr>
          <w:rFonts w:eastAsia="楷体_GB2312"/>
          <w:b/>
          <w:bCs/>
          <w:i/>
          <w:iCs/>
          <w:color w:val="FF0000"/>
          <w:sz w:val="24"/>
        </w:rPr>
        <w:t>”</w:t>
      </w:r>
      <w:r>
        <w:rPr>
          <w:rFonts w:hint="eastAsia" w:eastAsia="楷体_GB2312"/>
          <w:b/>
          <w:bCs/>
          <w:i/>
          <w:iCs/>
          <w:color w:val="FF0000"/>
          <w:sz w:val="24"/>
        </w:rPr>
        <w:t>持有的</w:t>
      </w:r>
      <w:r>
        <w:rPr>
          <w:rFonts w:eastAsia="楷体_GB2312"/>
          <w:b/>
          <w:bCs/>
          <w:i/>
          <w:iCs/>
          <w:color w:val="FF0000"/>
          <w:sz w:val="24"/>
        </w:rPr>
        <w:t>“</w:t>
      </w:r>
      <w:r>
        <w:rPr>
          <w:rFonts w:hint="eastAsia" w:eastAsia="楷体_GB2312"/>
          <w:b/>
          <w:bCs/>
          <w:i/>
          <w:iCs/>
          <w:color w:val="FF0000"/>
          <w:sz w:val="24"/>
        </w:rPr>
        <w:t>次级资产支持证券</w:t>
      </w:r>
      <w:r>
        <w:rPr>
          <w:rFonts w:eastAsia="楷体_GB2312"/>
          <w:b/>
          <w:bCs/>
          <w:i/>
          <w:iCs/>
          <w:color w:val="FF0000"/>
          <w:sz w:val="24"/>
        </w:rPr>
        <w:t>”</w:t>
      </w:r>
      <w:r>
        <w:rPr>
          <w:rFonts w:hint="eastAsia" w:eastAsia="楷体_GB2312"/>
          <w:b/>
          <w:bCs/>
          <w:i/>
          <w:iCs/>
          <w:color w:val="FF0000"/>
          <w:sz w:val="24"/>
        </w:rPr>
        <w:t>的份额为基准进行计算，不再以</w:t>
      </w:r>
      <w:r>
        <w:rPr>
          <w:rFonts w:eastAsia="楷体_GB2312"/>
          <w:b/>
          <w:bCs/>
          <w:i/>
          <w:iCs/>
          <w:color w:val="FF0000"/>
          <w:sz w:val="24"/>
        </w:rPr>
        <w:t>“</w:t>
      </w:r>
      <w:r>
        <w:rPr>
          <w:rFonts w:hint="eastAsia" w:eastAsia="楷体_GB2312"/>
          <w:b/>
          <w:bCs/>
          <w:i/>
          <w:iCs/>
          <w:color w:val="FF0000"/>
          <w:sz w:val="24"/>
        </w:rPr>
        <w:t>资产支持证券</w:t>
      </w:r>
      <w:r>
        <w:rPr>
          <w:rFonts w:eastAsia="楷体_GB2312"/>
          <w:b/>
          <w:bCs/>
          <w:i/>
          <w:iCs/>
          <w:color w:val="FF0000"/>
          <w:sz w:val="24"/>
        </w:rPr>
        <w:t>”</w:t>
      </w:r>
      <w:r>
        <w:rPr>
          <w:rFonts w:hint="eastAsia" w:eastAsia="楷体_GB2312"/>
          <w:b/>
          <w:bCs/>
          <w:i/>
          <w:iCs/>
          <w:color w:val="FF0000"/>
          <w:sz w:val="24"/>
        </w:rPr>
        <w:t>的</w:t>
      </w:r>
      <w:r>
        <w:rPr>
          <w:rFonts w:eastAsia="楷体_GB2312"/>
          <w:b/>
          <w:bCs/>
          <w:i/>
          <w:iCs/>
          <w:color w:val="FF0000"/>
          <w:sz w:val="24"/>
        </w:rPr>
        <w:t>“</w:t>
      </w:r>
      <w:r>
        <w:rPr>
          <w:rFonts w:hint="eastAsia" w:eastAsia="楷体_GB2312"/>
          <w:b/>
          <w:bCs/>
          <w:i/>
          <w:iCs/>
          <w:color w:val="FF0000"/>
          <w:sz w:val="24"/>
        </w:rPr>
        <w:t>未偿本金余额</w:t>
      </w:r>
      <w:r>
        <w:rPr>
          <w:rFonts w:eastAsia="楷体_GB2312"/>
          <w:b/>
          <w:bCs/>
          <w:i/>
          <w:iCs/>
          <w:color w:val="FF0000"/>
          <w:sz w:val="24"/>
        </w:rPr>
        <w:t>”</w:t>
      </w:r>
      <w:r>
        <w:rPr>
          <w:rFonts w:hint="eastAsia" w:eastAsia="楷体_GB2312"/>
          <w:b/>
          <w:bCs/>
          <w:i/>
          <w:iCs/>
          <w:color w:val="FF0000"/>
          <w:sz w:val="24"/>
        </w:rPr>
        <w:t>为基准进行计算。】</w:t>
      </w:r>
    </w:p>
    <w:p w14:paraId="04B21935">
      <w:pPr>
        <w:tabs>
          <w:tab w:val="left" w:pos="1800"/>
          <w:tab w:val="left" w:pos="1980"/>
        </w:tabs>
        <w:spacing w:line="380" w:lineRule="exact"/>
        <w:rPr>
          <w:rFonts w:eastAsia="楷体_GB2312"/>
          <w:sz w:val="24"/>
        </w:rPr>
      </w:pPr>
    </w:p>
    <w:p w14:paraId="3F7DC2DF">
      <w:pPr>
        <w:numPr>
          <w:ilvl w:val="2"/>
          <w:numId w:val="4"/>
        </w:numPr>
        <w:tabs>
          <w:tab w:val="left" w:pos="900"/>
        </w:tabs>
        <w:spacing w:line="380" w:lineRule="atLeast"/>
        <w:ind w:left="1620" w:hanging="769"/>
        <w:rPr>
          <w:rFonts w:eastAsia="楷体_GB2312"/>
          <w:sz w:val="24"/>
        </w:rPr>
      </w:pPr>
      <w:r>
        <w:rPr>
          <w:rFonts w:eastAsia="楷体_GB2312"/>
          <w:sz w:val="24"/>
        </w:rPr>
        <w:t>“资产支持证券持有人”依本合同的约定申请召集“资产支持证券持有人大会”，“受托人”拒绝或因其他理由不能召集时，应于书面申请提出后【】个“工作日”内以书面形式通知该“资产支持证券持有人”。</w:t>
      </w:r>
    </w:p>
    <w:p w14:paraId="56A9BCD4">
      <w:pPr>
        <w:tabs>
          <w:tab w:val="left" w:pos="1800"/>
          <w:tab w:val="left" w:pos="1980"/>
        </w:tabs>
        <w:spacing w:line="380" w:lineRule="exact"/>
        <w:ind w:left="1080"/>
        <w:rPr>
          <w:rFonts w:eastAsia="楷体_GB2312"/>
          <w:sz w:val="24"/>
        </w:rPr>
      </w:pPr>
    </w:p>
    <w:p w14:paraId="48BDE65C">
      <w:pPr>
        <w:numPr>
          <w:ilvl w:val="2"/>
          <w:numId w:val="4"/>
        </w:numPr>
        <w:tabs>
          <w:tab w:val="left" w:pos="900"/>
        </w:tabs>
        <w:spacing w:line="380" w:lineRule="atLeast"/>
        <w:ind w:left="1620" w:hanging="769"/>
        <w:rPr>
          <w:rFonts w:eastAsia="楷体_GB2312"/>
          <w:sz w:val="24"/>
          <w:lang w:bidi="th-TH"/>
        </w:rPr>
      </w:pPr>
      <w:bookmarkStart w:id="582" w:name="_Ref161653257"/>
      <w:r>
        <w:rPr>
          <w:rFonts w:eastAsia="楷体_GB2312"/>
          <w:sz w:val="24"/>
        </w:rPr>
        <w:t>“资产支持证券持有人”依本合同的约定提出书面申请后【】个“工作日”内，“受托人”未召集或因其他理由不能召集时，单独或合计持有本类别“资产支持证券”“未偿本金余额”【】%或以上的“资产支持证券持有人”，可以在报“人民银行”备案后自行召集。</w:t>
      </w:r>
      <w:bookmarkEnd w:id="582"/>
    </w:p>
    <w:p w14:paraId="383B2CFE">
      <w:pPr>
        <w:tabs>
          <w:tab w:val="left" w:pos="1800"/>
          <w:tab w:val="left" w:pos="1980"/>
        </w:tabs>
        <w:spacing w:line="380" w:lineRule="exact"/>
        <w:ind w:left="1080"/>
        <w:rPr>
          <w:rFonts w:eastAsia="楷体_GB2312"/>
          <w:sz w:val="24"/>
          <w:lang w:bidi="th-TH"/>
        </w:rPr>
      </w:pPr>
    </w:p>
    <w:p w14:paraId="5139D062">
      <w:pPr>
        <w:numPr>
          <w:ilvl w:val="2"/>
          <w:numId w:val="4"/>
        </w:numPr>
        <w:tabs>
          <w:tab w:val="left" w:pos="900"/>
        </w:tabs>
        <w:spacing w:line="380" w:lineRule="atLeast"/>
        <w:ind w:left="1620" w:hanging="769"/>
        <w:rPr>
          <w:rFonts w:eastAsia="楷体_GB2312"/>
          <w:sz w:val="24"/>
          <w:lang w:bidi="th-TH"/>
        </w:rPr>
      </w:pPr>
      <w:r>
        <w:rPr>
          <w:rFonts w:eastAsia="楷体_GB2312"/>
          <w:sz w:val="24"/>
        </w:rPr>
        <w:t>依据本合同第</w:t>
      </w:r>
      <w:r>
        <w:rPr>
          <w:rFonts w:eastAsia="楷体_GB2312"/>
        </w:rPr>
        <w:fldChar w:fldCharType="begin"/>
      </w:r>
      <w:r>
        <w:rPr>
          <w:rFonts w:eastAsia="楷体_GB2312"/>
        </w:rPr>
        <w:instrText xml:space="preserve"> REF _Ref161653257 \r \h  \* MERGEFORMAT </w:instrText>
      </w:r>
      <w:r>
        <w:rPr>
          <w:rFonts w:eastAsia="楷体_GB2312"/>
        </w:rPr>
        <w:fldChar w:fldCharType="separate"/>
      </w:r>
      <w:r>
        <w:rPr>
          <w:rFonts w:eastAsia="楷体_GB2312"/>
          <w:sz w:val="24"/>
        </w:rPr>
        <w:t>18.2.5</w:t>
      </w:r>
      <w:r>
        <w:rPr>
          <w:rFonts w:eastAsia="楷体_GB2312"/>
        </w:rPr>
        <w:fldChar w:fldCharType="end"/>
      </w:r>
      <w:r>
        <w:rPr>
          <w:rFonts w:eastAsia="楷体_GB2312"/>
          <w:sz w:val="24"/>
        </w:rPr>
        <w:t>款召集的“资产支持证券持有人大会”，应通知“受托人”出席。“资产支持证券持有人大会”开会时，“受托人”应出席会议，并接受“资产支持证券持有人大会”的询问。</w:t>
      </w:r>
    </w:p>
    <w:p w14:paraId="31FC1DB6">
      <w:pPr>
        <w:tabs>
          <w:tab w:val="left" w:pos="1800"/>
          <w:tab w:val="left" w:pos="1980"/>
        </w:tabs>
        <w:spacing w:line="380" w:lineRule="exact"/>
        <w:ind w:left="1080"/>
        <w:rPr>
          <w:rFonts w:eastAsia="楷体_GB2312"/>
          <w:sz w:val="24"/>
          <w:lang w:bidi="th-TH"/>
        </w:rPr>
      </w:pPr>
    </w:p>
    <w:p w14:paraId="300CAE5A">
      <w:pPr>
        <w:numPr>
          <w:ilvl w:val="2"/>
          <w:numId w:val="4"/>
        </w:numPr>
        <w:tabs>
          <w:tab w:val="left" w:pos="900"/>
        </w:tabs>
        <w:spacing w:line="380" w:lineRule="atLeast"/>
        <w:ind w:left="1620" w:hanging="769"/>
        <w:rPr>
          <w:rFonts w:eastAsia="楷体_GB2312"/>
          <w:sz w:val="24"/>
          <w:lang w:bidi="th-TH"/>
        </w:rPr>
      </w:pPr>
      <w:bookmarkStart w:id="583" w:name="_Ref161632404"/>
      <w:r>
        <w:rPr>
          <w:rFonts w:eastAsia="楷体_GB2312"/>
          <w:sz w:val="24"/>
        </w:rPr>
        <w:t>“受托人”提议召开或“资产支持证券持有人”自行召集“资产支持证券持有人大会”时，召集人应当至少提前【】个“工作日”</w:t>
      </w:r>
      <w:r>
        <w:rPr>
          <w:rFonts w:hint="eastAsia" w:eastAsia="楷体_GB2312"/>
          <w:sz w:val="24"/>
        </w:rPr>
        <w:t>通过</w:t>
      </w:r>
      <w:r>
        <w:rPr>
          <w:rFonts w:eastAsia="楷体_GB2312"/>
          <w:sz w:val="24"/>
        </w:rPr>
        <w:t>“交易商协会”综合业务和信息服务平台、中国货币网、中国债券信息网、“北金所”官方网站及“交易商协会”认可的其他方式公告“资产支持证券持有人大会”的召开时间、地点、会议方式、审议事项、议事程序和表决方式等事项，以通知全体“资产支持证券持有人”相关会议事宜。</w:t>
      </w:r>
      <w:bookmarkEnd w:id="583"/>
    </w:p>
    <w:p w14:paraId="7189875D">
      <w:pPr>
        <w:tabs>
          <w:tab w:val="left" w:pos="1800"/>
          <w:tab w:val="left" w:pos="1980"/>
        </w:tabs>
        <w:spacing w:line="380" w:lineRule="exact"/>
        <w:rPr>
          <w:rFonts w:eastAsia="楷体_GB2312"/>
          <w:sz w:val="24"/>
        </w:rPr>
      </w:pPr>
    </w:p>
    <w:p w14:paraId="441ADE5D">
      <w:pPr>
        <w:numPr>
          <w:ilvl w:val="2"/>
          <w:numId w:val="4"/>
        </w:numPr>
        <w:tabs>
          <w:tab w:val="left" w:pos="900"/>
        </w:tabs>
        <w:spacing w:line="380" w:lineRule="atLeast"/>
        <w:ind w:left="1620" w:hanging="769"/>
        <w:rPr>
          <w:rFonts w:eastAsia="楷体_GB2312"/>
          <w:sz w:val="24"/>
          <w:lang w:bidi="th-TH"/>
        </w:rPr>
      </w:pPr>
      <w:r>
        <w:rPr>
          <w:rFonts w:eastAsia="楷体_GB2312"/>
          <w:sz w:val="24"/>
        </w:rPr>
        <w:t>任何类别的“资产支持证券持有人大会”均不得对未经公告的审议事项作出决议。</w:t>
      </w:r>
    </w:p>
    <w:p w14:paraId="55D17F0F">
      <w:pPr>
        <w:tabs>
          <w:tab w:val="left" w:pos="1800"/>
          <w:tab w:val="left" w:pos="1980"/>
        </w:tabs>
        <w:spacing w:line="380" w:lineRule="exact"/>
        <w:ind w:left="1080"/>
        <w:rPr>
          <w:rFonts w:eastAsia="楷体_GB2312"/>
          <w:sz w:val="24"/>
        </w:rPr>
      </w:pPr>
    </w:p>
    <w:p w14:paraId="61044427">
      <w:pPr>
        <w:numPr>
          <w:ilvl w:val="1"/>
          <w:numId w:val="4"/>
        </w:numPr>
        <w:tabs>
          <w:tab w:val="left" w:pos="1800"/>
          <w:tab w:val="left" w:pos="1980"/>
        </w:tabs>
        <w:spacing w:line="380" w:lineRule="exact"/>
        <w:outlineLvl w:val="1"/>
        <w:rPr>
          <w:rFonts w:eastAsia="楷体_GB2312"/>
          <w:b/>
          <w:sz w:val="24"/>
        </w:rPr>
      </w:pPr>
      <w:bookmarkStart w:id="584" w:name="_Toc172736603"/>
      <w:bookmarkStart w:id="585" w:name="_Ref150591316"/>
      <w:r>
        <w:rPr>
          <w:rFonts w:eastAsia="楷体_GB2312"/>
          <w:b/>
          <w:sz w:val="24"/>
        </w:rPr>
        <w:t>表决权</w:t>
      </w:r>
      <w:bookmarkEnd w:id="584"/>
    </w:p>
    <w:bookmarkEnd w:id="585"/>
    <w:p w14:paraId="7BB786F9">
      <w:pPr>
        <w:spacing w:line="380" w:lineRule="exact"/>
        <w:ind w:left="1080"/>
        <w:rPr>
          <w:rFonts w:eastAsia="楷体_GB2312"/>
          <w:sz w:val="24"/>
        </w:rPr>
      </w:pPr>
    </w:p>
    <w:p w14:paraId="4AC1F37F">
      <w:pPr>
        <w:numPr>
          <w:ilvl w:val="2"/>
          <w:numId w:val="4"/>
        </w:numPr>
        <w:tabs>
          <w:tab w:val="left" w:pos="900"/>
        </w:tabs>
        <w:spacing w:line="380" w:lineRule="atLeast"/>
        <w:ind w:left="1620" w:hanging="769"/>
        <w:rPr>
          <w:rFonts w:eastAsia="楷体_GB2312"/>
          <w:sz w:val="24"/>
        </w:rPr>
      </w:pPr>
      <w:r>
        <w:rPr>
          <w:rFonts w:eastAsia="楷体_GB2312"/>
          <w:sz w:val="24"/>
        </w:rPr>
        <w:t>出席会议的“资产支持证券持有人”，就其持有的“资产支持证券”</w:t>
      </w:r>
      <w:r>
        <w:rPr>
          <w:rFonts w:eastAsia="楷体_GB2312"/>
          <w:color w:val="000000"/>
          <w:sz w:val="24"/>
        </w:rPr>
        <w:t>在表决权登记日日终时的“未偿本金余额”，</w:t>
      </w:r>
      <w:r>
        <w:rPr>
          <w:rFonts w:eastAsia="楷体_GB2312"/>
          <w:sz w:val="24"/>
        </w:rPr>
        <w:t>每1元人民币拥有一票表决权</w:t>
      </w:r>
      <w:r>
        <w:rPr>
          <w:rFonts w:eastAsia="楷体_GB2312"/>
          <w:color w:val="000000"/>
          <w:sz w:val="24"/>
        </w:rPr>
        <w:t>，不足1元的部分，不享有</w:t>
      </w:r>
      <w:r>
        <w:rPr>
          <w:rFonts w:eastAsia="楷体_GB2312"/>
          <w:sz w:val="24"/>
        </w:rPr>
        <w:t>表决权。</w:t>
      </w:r>
    </w:p>
    <w:p w14:paraId="0DA71E7D">
      <w:pPr>
        <w:tabs>
          <w:tab w:val="left" w:pos="1800"/>
          <w:tab w:val="left" w:pos="1980"/>
        </w:tabs>
        <w:spacing w:line="380" w:lineRule="exact"/>
        <w:ind w:left="851"/>
        <w:rPr>
          <w:rFonts w:eastAsia="楷体_GB2312"/>
          <w:sz w:val="24"/>
        </w:rPr>
      </w:pPr>
    </w:p>
    <w:p w14:paraId="5F496299">
      <w:pPr>
        <w:numPr>
          <w:ilvl w:val="2"/>
          <w:numId w:val="4"/>
        </w:numPr>
        <w:tabs>
          <w:tab w:val="left" w:pos="900"/>
        </w:tabs>
        <w:spacing w:line="380" w:lineRule="atLeast"/>
        <w:ind w:left="1620" w:hanging="769"/>
        <w:rPr>
          <w:rFonts w:eastAsia="楷体_GB2312"/>
          <w:sz w:val="24"/>
        </w:rPr>
      </w:pPr>
      <w:r>
        <w:rPr>
          <w:rFonts w:eastAsia="楷体_GB2312"/>
          <w:sz w:val="24"/>
        </w:rPr>
        <w:t>“资产支持证券持有人大会”召开之日前第【】个</w:t>
      </w:r>
      <w:r>
        <w:rPr>
          <w:rFonts w:eastAsia="楷体_GB2312"/>
          <w:bCs/>
          <w:sz w:val="24"/>
        </w:rPr>
        <w:t>“</w:t>
      </w:r>
      <w:r>
        <w:rPr>
          <w:rFonts w:eastAsia="楷体_GB2312"/>
          <w:sz w:val="24"/>
        </w:rPr>
        <w:t>工作日</w:t>
      </w:r>
      <w:r>
        <w:rPr>
          <w:rFonts w:eastAsia="楷体_GB2312"/>
          <w:bCs/>
          <w:sz w:val="24"/>
        </w:rPr>
        <w:t>”为表决权登记日。表决权登记日日终时的</w:t>
      </w:r>
      <w:r>
        <w:rPr>
          <w:rFonts w:eastAsia="楷体_GB2312"/>
          <w:sz w:val="24"/>
        </w:rPr>
        <w:t>“资产支持证券持有人”为有权出席“资产支持证券持有人大会”的“资产支持证券持有人”，并根据其持有的“资产支持证券”享有相应的表决权。</w:t>
      </w:r>
      <w:r>
        <w:rPr>
          <w:rFonts w:eastAsia="楷体_GB2312"/>
          <w:bCs/>
          <w:sz w:val="24"/>
        </w:rPr>
        <w:t>表决权登记日日终时的</w:t>
      </w:r>
      <w:r>
        <w:rPr>
          <w:rFonts w:eastAsia="楷体_GB2312"/>
          <w:sz w:val="24"/>
        </w:rPr>
        <w:t>“资产支持证券持有人”依据“登记托管机构”所记载的相关数据信息确定。</w:t>
      </w:r>
    </w:p>
    <w:p w14:paraId="1D586279">
      <w:pPr>
        <w:tabs>
          <w:tab w:val="left" w:pos="1800"/>
          <w:tab w:val="left" w:pos="1980"/>
        </w:tabs>
        <w:spacing w:line="380" w:lineRule="exact"/>
        <w:ind w:left="1080"/>
        <w:rPr>
          <w:rFonts w:eastAsia="楷体_GB2312"/>
          <w:sz w:val="24"/>
        </w:rPr>
      </w:pPr>
    </w:p>
    <w:p w14:paraId="62C67C18">
      <w:pPr>
        <w:numPr>
          <w:ilvl w:val="2"/>
          <w:numId w:val="4"/>
        </w:numPr>
        <w:tabs>
          <w:tab w:val="left" w:pos="900"/>
        </w:tabs>
        <w:spacing w:line="380" w:lineRule="atLeast"/>
        <w:ind w:left="1620" w:hanging="769"/>
        <w:rPr>
          <w:rFonts w:eastAsia="楷体_GB2312"/>
          <w:sz w:val="24"/>
        </w:rPr>
      </w:pPr>
      <w:r>
        <w:rPr>
          <w:rFonts w:eastAsia="楷体_GB2312"/>
          <w:sz w:val="24"/>
        </w:rPr>
        <w:t>“资产支持证券持有人”可以委托代理人出席</w:t>
      </w:r>
      <w:r>
        <w:rPr>
          <w:rFonts w:eastAsia="楷体_GB2312"/>
          <w:bCs/>
          <w:sz w:val="24"/>
        </w:rPr>
        <w:t>“</w:t>
      </w:r>
      <w:r>
        <w:rPr>
          <w:rFonts w:eastAsia="楷体_GB2312"/>
          <w:sz w:val="24"/>
        </w:rPr>
        <w:t>资产支持证券持有人大会</w:t>
      </w:r>
      <w:r>
        <w:rPr>
          <w:rFonts w:eastAsia="楷体_GB2312"/>
          <w:bCs/>
          <w:sz w:val="24"/>
        </w:rPr>
        <w:t>”</w:t>
      </w:r>
      <w:r>
        <w:rPr>
          <w:rFonts w:eastAsia="楷体_GB2312"/>
          <w:sz w:val="24"/>
        </w:rPr>
        <w:t>，代理人应向“受托人”提供“资产支持证券持有人”出具的载明授权范围的授权委托书，并在授权范围内行使表决权。每位“资产支持证券持有人”仅能出具一份授权委托书并委托一位代理人。</w:t>
      </w:r>
    </w:p>
    <w:p w14:paraId="73939123">
      <w:pPr>
        <w:tabs>
          <w:tab w:val="left" w:pos="1800"/>
          <w:tab w:val="left" w:pos="1980"/>
        </w:tabs>
        <w:spacing w:line="380" w:lineRule="exact"/>
        <w:rPr>
          <w:rFonts w:eastAsia="楷体_GB2312"/>
          <w:sz w:val="24"/>
        </w:rPr>
      </w:pPr>
    </w:p>
    <w:p w14:paraId="7F33E58B">
      <w:pPr>
        <w:numPr>
          <w:ilvl w:val="2"/>
          <w:numId w:val="4"/>
        </w:numPr>
        <w:tabs>
          <w:tab w:val="left" w:pos="900"/>
        </w:tabs>
        <w:spacing w:line="380" w:lineRule="atLeast"/>
        <w:ind w:left="1620" w:hanging="769"/>
        <w:rPr>
          <w:rFonts w:eastAsia="楷体_GB2312"/>
          <w:sz w:val="24"/>
        </w:rPr>
      </w:pPr>
      <w:r>
        <w:rPr>
          <w:rFonts w:eastAsia="楷体_GB2312"/>
          <w:sz w:val="24"/>
        </w:rPr>
        <w:t>出席“资产支持证券持有人大会”的同一“资产支持证券持有人”，就同一议案不得分割行使其表决权。法人或其他组织为“资产支持证券持有人”时，其代表人仅限于一人。</w:t>
      </w:r>
    </w:p>
    <w:p w14:paraId="04FA1330">
      <w:pPr>
        <w:autoSpaceDE w:val="0"/>
        <w:autoSpaceDN w:val="0"/>
        <w:adjustRightInd w:val="0"/>
        <w:spacing w:line="380" w:lineRule="exact"/>
        <w:jc w:val="left"/>
        <w:rPr>
          <w:rFonts w:eastAsia="楷体_GB2312"/>
          <w:sz w:val="24"/>
        </w:rPr>
      </w:pPr>
    </w:p>
    <w:p w14:paraId="08BEDE80">
      <w:pPr>
        <w:numPr>
          <w:ilvl w:val="1"/>
          <w:numId w:val="4"/>
        </w:numPr>
        <w:spacing w:line="380" w:lineRule="exact"/>
        <w:outlineLvl w:val="1"/>
        <w:rPr>
          <w:rFonts w:eastAsia="楷体_GB2312"/>
          <w:b/>
          <w:sz w:val="24"/>
        </w:rPr>
      </w:pPr>
      <w:bookmarkStart w:id="586" w:name="_Toc172736604"/>
      <w:bookmarkStart w:id="587" w:name="_Toc152168193"/>
      <w:bookmarkStart w:id="588" w:name="_Toc152168749"/>
      <w:bookmarkStart w:id="589" w:name="_Toc151554359"/>
      <w:r>
        <w:rPr>
          <w:rFonts w:eastAsia="楷体_GB2312"/>
          <w:b/>
          <w:sz w:val="24"/>
        </w:rPr>
        <w:t>会议方式</w:t>
      </w:r>
      <w:bookmarkEnd w:id="586"/>
      <w:bookmarkEnd w:id="587"/>
      <w:bookmarkEnd w:id="588"/>
      <w:bookmarkEnd w:id="589"/>
    </w:p>
    <w:p w14:paraId="1D6A819C">
      <w:pPr>
        <w:autoSpaceDE w:val="0"/>
        <w:autoSpaceDN w:val="0"/>
        <w:adjustRightInd w:val="0"/>
        <w:spacing w:line="380" w:lineRule="exact"/>
        <w:jc w:val="left"/>
        <w:rPr>
          <w:rFonts w:eastAsia="楷体_GB2312"/>
          <w:sz w:val="24"/>
        </w:rPr>
      </w:pPr>
    </w:p>
    <w:p w14:paraId="19FAFE7D">
      <w:pPr>
        <w:numPr>
          <w:ilvl w:val="2"/>
          <w:numId w:val="4"/>
        </w:numPr>
        <w:tabs>
          <w:tab w:val="left" w:pos="900"/>
        </w:tabs>
        <w:spacing w:line="380" w:lineRule="atLeast"/>
        <w:ind w:left="1620" w:hanging="769"/>
        <w:rPr>
          <w:rFonts w:eastAsia="楷体_GB2312"/>
          <w:sz w:val="24"/>
        </w:rPr>
      </w:pPr>
      <w:r>
        <w:rPr>
          <w:rFonts w:eastAsia="楷体_GB2312"/>
          <w:sz w:val="24"/>
        </w:rPr>
        <w:t>“资产支持证券持有人大会”可以采取现场或通讯方式进行，“资产支持证券持有人”可以以现场方式或通讯方式行使表决权。当“资产支持证券持有人”仅剩一方主体时，对于本合同第</w:t>
      </w:r>
      <w:r>
        <w:rPr>
          <w:rFonts w:eastAsia="楷体_GB2312"/>
          <w:sz w:val="24"/>
        </w:rPr>
        <w:fldChar w:fldCharType="begin"/>
      </w:r>
      <w:r>
        <w:rPr>
          <w:rFonts w:eastAsia="楷体_GB2312"/>
          <w:sz w:val="24"/>
        </w:rPr>
        <w:instrText xml:space="preserve"> REF _Ref51361462 \r \h  \* MERGEFORMAT </w:instrText>
      </w:r>
      <w:r>
        <w:rPr>
          <w:rFonts w:eastAsia="楷体_GB2312"/>
          <w:sz w:val="24"/>
        </w:rPr>
        <w:fldChar w:fldCharType="separate"/>
      </w:r>
      <w:r>
        <w:rPr>
          <w:rFonts w:eastAsia="楷体_GB2312"/>
          <w:sz w:val="24"/>
        </w:rPr>
        <w:t>18.2.2</w:t>
      </w:r>
      <w:r>
        <w:rPr>
          <w:rFonts w:eastAsia="楷体_GB2312"/>
          <w:sz w:val="24"/>
        </w:rPr>
        <w:fldChar w:fldCharType="end"/>
      </w:r>
      <w:r>
        <w:rPr>
          <w:rFonts w:eastAsia="楷体_GB2312"/>
          <w:sz w:val="24"/>
        </w:rPr>
        <w:t>款约定的应召开“资产支持证券持有人大会”表决的事项可不召开大会，仅由该唯一“资产支持证券持有人”作出书面决定，该书面决定</w:t>
      </w:r>
      <w:r>
        <w:rPr>
          <w:rFonts w:eastAsia="楷体_GB2312"/>
          <w:bCs/>
          <w:sz w:val="24"/>
        </w:rPr>
        <w:t>与根据本合同第</w:t>
      </w:r>
      <w:r>
        <w:rPr>
          <w:rFonts w:eastAsia="楷体_GB2312"/>
          <w:bCs/>
          <w:sz w:val="24"/>
        </w:rPr>
        <w:fldChar w:fldCharType="begin"/>
      </w:r>
      <w:r>
        <w:rPr>
          <w:rFonts w:eastAsia="楷体_GB2312"/>
          <w:bCs/>
          <w:sz w:val="24"/>
        </w:rPr>
        <w:instrText xml:space="preserve"> REF _Ref122640006 \r \h  \* MERGEFORMAT </w:instrText>
      </w:r>
      <w:r>
        <w:rPr>
          <w:rFonts w:eastAsia="楷体_GB2312"/>
          <w:bCs/>
          <w:sz w:val="24"/>
        </w:rPr>
        <w:fldChar w:fldCharType="separate"/>
      </w:r>
      <w:r>
        <w:rPr>
          <w:rFonts w:eastAsia="楷体_GB2312"/>
          <w:bCs/>
          <w:sz w:val="24"/>
        </w:rPr>
        <w:t>18.2</w:t>
      </w:r>
      <w:r>
        <w:rPr>
          <w:rFonts w:eastAsia="楷体_GB2312"/>
          <w:bCs/>
          <w:sz w:val="24"/>
        </w:rPr>
        <w:fldChar w:fldCharType="end"/>
      </w:r>
      <w:r>
        <w:rPr>
          <w:rFonts w:eastAsia="楷体_GB2312"/>
          <w:bCs/>
          <w:sz w:val="24"/>
        </w:rPr>
        <w:t>款的约定召集并召开的</w:t>
      </w:r>
      <w:r>
        <w:rPr>
          <w:rFonts w:eastAsia="楷体_GB2312"/>
          <w:sz w:val="24"/>
        </w:rPr>
        <w:t>“资产支持证券持有人大会”</w:t>
      </w:r>
      <w:r>
        <w:rPr>
          <w:rFonts w:eastAsia="楷体_GB2312"/>
          <w:sz w:val="24"/>
          <w:lang w:val="en-GB"/>
        </w:rPr>
        <w:t>通过的</w:t>
      </w:r>
      <w:r>
        <w:rPr>
          <w:rFonts w:eastAsia="楷体_GB2312"/>
          <w:sz w:val="24"/>
        </w:rPr>
        <w:t>决议具有同等效力，且应根据本合同第</w:t>
      </w:r>
      <w:r>
        <w:rPr>
          <w:rFonts w:eastAsia="楷体_GB2312"/>
          <w:bCs/>
          <w:sz w:val="24"/>
        </w:rPr>
        <w:fldChar w:fldCharType="begin"/>
      </w:r>
      <w:r>
        <w:rPr>
          <w:rFonts w:eastAsia="楷体_GB2312"/>
          <w:bCs/>
          <w:sz w:val="24"/>
        </w:rPr>
        <w:instrText xml:space="preserve"> REF _Ref122640006 \r \h  \* MERGEFORMAT </w:instrText>
      </w:r>
      <w:r>
        <w:rPr>
          <w:rFonts w:eastAsia="楷体_GB2312"/>
          <w:bCs/>
          <w:sz w:val="24"/>
        </w:rPr>
        <w:fldChar w:fldCharType="separate"/>
      </w:r>
      <w:r>
        <w:rPr>
          <w:rFonts w:eastAsia="楷体_GB2312"/>
          <w:bCs/>
          <w:sz w:val="24"/>
        </w:rPr>
        <w:t>18.2</w:t>
      </w:r>
      <w:r>
        <w:rPr>
          <w:rFonts w:eastAsia="楷体_GB2312"/>
          <w:bCs/>
          <w:sz w:val="24"/>
        </w:rPr>
        <w:fldChar w:fldCharType="end"/>
      </w:r>
      <w:r>
        <w:rPr>
          <w:rFonts w:eastAsia="楷体_GB2312"/>
          <w:sz w:val="24"/>
        </w:rPr>
        <w:t>款的约定进行备案与公告。</w:t>
      </w:r>
    </w:p>
    <w:p w14:paraId="4D01B975">
      <w:pPr>
        <w:tabs>
          <w:tab w:val="left" w:pos="1800"/>
          <w:tab w:val="left" w:pos="1980"/>
        </w:tabs>
        <w:spacing w:line="380" w:lineRule="exact"/>
        <w:ind w:left="1080"/>
        <w:rPr>
          <w:rFonts w:eastAsia="楷体_GB2312"/>
          <w:sz w:val="24"/>
        </w:rPr>
      </w:pPr>
    </w:p>
    <w:p w14:paraId="5634923F">
      <w:pPr>
        <w:numPr>
          <w:ilvl w:val="2"/>
          <w:numId w:val="4"/>
        </w:numPr>
        <w:tabs>
          <w:tab w:val="left" w:pos="900"/>
        </w:tabs>
        <w:spacing w:line="380" w:lineRule="atLeast"/>
        <w:ind w:left="1620" w:hanging="769"/>
        <w:rPr>
          <w:rFonts w:eastAsia="楷体_GB2312"/>
          <w:sz w:val="24"/>
        </w:rPr>
      </w:pPr>
      <w:r>
        <w:rPr>
          <w:rFonts w:eastAsia="楷体_GB2312"/>
          <w:sz w:val="24"/>
        </w:rPr>
        <w:t>以通讯方式行使表决权的“资产支持证券持有人”，视为亲自出席“资产支持证券持有人大会”。</w:t>
      </w:r>
    </w:p>
    <w:p w14:paraId="39DB656F">
      <w:pPr>
        <w:tabs>
          <w:tab w:val="left" w:pos="1800"/>
          <w:tab w:val="left" w:pos="1980"/>
        </w:tabs>
        <w:spacing w:line="380" w:lineRule="exact"/>
        <w:rPr>
          <w:rFonts w:eastAsia="楷体_GB2312"/>
          <w:sz w:val="24"/>
        </w:rPr>
      </w:pPr>
    </w:p>
    <w:p w14:paraId="30CF3867">
      <w:pPr>
        <w:numPr>
          <w:ilvl w:val="2"/>
          <w:numId w:val="4"/>
        </w:numPr>
        <w:tabs>
          <w:tab w:val="left" w:pos="900"/>
        </w:tabs>
        <w:spacing w:line="380" w:lineRule="atLeast"/>
        <w:ind w:left="1620" w:hanging="769"/>
        <w:rPr>
          <w:rFonts w:eastAsia="楷体_GB2312"/>
          <w:sz w:val="24"/>
        </w:rPr>
      </w:pPr>
      <w:r>
        <w:rPr>
          <w:rFonts w:eastAsia="楷体_GB2312"/>
          <w:sz w:val="24"/>
        </w:rPr>
        <w:t>“资产支持证券持有人”以通讯方式行使表决权的，其行使表决权的意思表示（下称“意思表示”）应于“资产支持证券持有人大会”开会【】个“工作日”前送达“受托人”，意思表示有重复时，以最先送达者为准。但嗣后送达的意思表示旨在声明撤销此前的意思表示的，不在此限。“资产支持证券持有人”以通讯方式行使表决权后，打算亲自出席“资产支持证券持有人大会”的，至迟应于“资产支持证券持有人大会”开会前【】个“工作日”，以与行使表决权相同之方式撤销前项行使表决权之意思表示；逾期撤销者，以通讯方式行使之表决权为准。</w:t>
      </w:r>
    </w:p>
    <w:p w14:paraId="18B3A289">
      <w:pPr>
        <w:tabs>
          <w:tab w:val="left" w:pos="1800"/>
          <w:tab w:val="left" w:pos="1980"/>
        </w:tabs>
        <w:spacing w:line="380" w:lineRule="exact"/>
        <w:rPr>
          <w:rFonts w:eastAsia="楷体_GB2312"/>
          <w:b/>
          <w:sz w:val="24"/>
        </w:rPr>
      </w:pPr>
    </w:p>
    <w:p w14:paraId="3E6F1073">
      <w:pPr>
        <w:numPr>
          <w:ilvl w:val="1"/>
          <w:numId w:val="4"/>
        </w:numPr>
        <w:tabs>
          <w:tab w:val="left" w:pos="1800"/>
          <w:tab w:val="left" w:pos="1980"/>
        </w:tabs>
        <w:spacing w:line="380" w:lineRule="exact"/>
        <w:outlineLvl w:val="1"/>
        <w:rPr>
          <w:rFonts w:eastAsia="楷体_GB2312"/>
          <w:b/>
          <w:sz w:val="24"/>
        </w:rPr>
      </w:pPr>
      <w:bookmarkStart w:id="590" w:name="_Ref51239474"/>
      <w:bookmarkStart w:id="591" w:name="_Toc172736605"/>
      <w:r>
        <w:rPr>
          <w:rFonts w:eastAsia="楷体_GB2312"/>
          <w:b/>
          <w:sz w:val="24"/>
        </w:rPr>
        <w:t>全体同意事项</w:t>
      </w:r>
      <w:bookmarkEnd w:id="590"/>
      <w:bookmarkEnd w:id="591"/>
    </w:p>
    <w:p w14:paraId="45D6EBD6">
      <w:pPr>
        <w:tabs>
          <w:tab w:val="left" w:pos="1800"/>
          <w:tab w:val="left" w:pos="1980"/>
        </w:tabs>
        <w:spacing w:line="380" w:lineRule="exact"/>
        <w:ind w:left="425"/>
        <w:rPr>
          <w:rFonts w:eastAsia="楷体_GB2312"/>
          <w:b/>
          <w:sz w:val="24"/>
        </w:rPr>
      </w:pPr>
    </w:p>
    <w:p w14:paraId="61224556">
      <w:pPr>
        <w:spacing w:line="380" w:lineRule="atLeast"/>
        <w:ind w:left="912" w:leftChars="456"/>
        <w:rPr>
          <w:rFonts w:eastAsia="楷体_GB2312"/>
          <w:sz w:val="24"/>
        </w:rPr>
      </w:pPr>
      <w:r>
        <w:rPr>
          <w:rFonts w:eastAsia="楷体_GB2312"/>
          <w:sz w:val="24"/>
        </w:rPr>
        <w:t>下列事项（下称“全体同意事项”），必须经全体“资产支持证券持有人”一致同意后方可形成决议：</w:t>
      </w:r>
    </w:p>
    <w:p w14:paraId="7ACAD0DA">
      <w:pPr>
        <w:tabs>
          <w:tab w:val="left" w:pos="1800"/>
          <w:tab w:val="left" w:pos="1980"/>
        </w:tabs>
        <w:spacing w:line="380" w:lineRule="exact"/>
        <w:ind w:left="851"/>
        <w:rPr>
          <w:rFonts w:eastAsia="楷体_GB2312"/>
          <w:sz w:val="24"/>
        </w:rPr>
      </w:pPr>
    </w:p>
    <w:p w14:paraId="51BB2884">
      <w:pPr>
        <w:numPr>
          <w:ilvl w:val="2"/>
          <w:numId w:val="4"/>
        </w:numPr>
        <w:tabs>
          <w:tab w:val="left" w:pos="900"/>
        </w:tabs>
        <w:spacing w:line="380" w:lineRule="atLeast"/>
        <w:ind w:left="1620" w:hanging="769"/>
        <w:rPr>
          <w:rFonts w:eastAsia="楷体_GB2312"/>
          <w:sz w:val="24"/>
        </w:rPr>
      </w:pPr>
      <w:r>
        <w:rPr>
          <w:rFonts w:eastAsia="楷体_GB2312"/>
          <w:sz w:val="24"/>
        </w:rPr>
        <w:t>提前终止“信托”（本合同已约定的无须召开“资产支持证券持有人大会”的“信托”终止的情形除外）；</w:t>
      </w:r>
    </w:p>
    <w:p w14:paraId="140E2A65">
      <w:pPr>
        <w:tabs>
          <w:tab w:val="left" w:pos="1800"/>
          <w:tab w:val="left" w:pos="1980"/>
        </w:tabs>
        <w:spacing w:line="380" w:lineRule="exact"/>
        <w:ind w:left="1276"/>
        <w:rPr>
          <w:rFonts w:eastAsia="楷体_GB2312"/>
          <w:sz w:val="24"/>
        </w:rPr>
      </w:pPr>
    </w:p>
    <w:p w14:paraId="7E7D2161">
      <w:pPr>
        <w:numPr>
          <w:ilvl w:val="2"/>
          <w:numId w:val="4"/>
        </w:numPr>
        <w:tabs>
          <w:tab w:val="left" w:pos="900"/>
        </w:tabs>
        <w:spacing w:line="380" w:lineRule="atLeast"/>
        <w:ind w:left="1620" w:hanging="769"/>
        <w:rPr>
          <w:rFonts w:eastAsia="楷体_GB2312"/>
          <w:sz w:val="24"/>
        </w:rPr>
      </w:pPr>
      <w:r>
        <w:rPr>
          <w:rFonts w:eastAsia="楷体_GB2312"/>
          <w:sz w:val="24"/>
        </w:rPr>
        <w:t>改变本合同第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条约定的“回收款”分配顺序。</w:t>
      </w:r>
    </w:p>
    <w:p w14:paraId="21768B63">
      <w:pPr>
        <w:spacing w:before="156" w:beforeLines="50" w:after="156" w:afterLines="50" w:line="240" w:lineRule="atLeast"/>
        <w:ind w:left="851"/>
        <w:rPr>
          <w:rFonts w:eastAsia="楷体_GB2312"/>
          <w:i/>
          <w:color w:val="FF0000"/>
          <w:sz w:val="24"/>
          <w:szCs w:val="24"/>
        </w:rPr>
      </w:pPr>
      <w:r>
        <w:rPr>
          <w:rFonts w:eastAsia="楷体_GB2312"/>
          <w:b/>
          <w:i/>
          <w:color w:val="FF0000"/>
          <w:sz w:val="24"/>
          <w:szCs w:val="24"/>
        </w:rPr>
        <w:t>【注：</w:t>
      </w:r>
      <w:r>
        <w:rPr>
          <w:rFonts w:eastAsia="楷体_GB2312"/>
          <w:b/>
          <w:bCs/>
          <w:i/>
          <w:iCs/>
          <w:color w:val="FF0000"/>
          <w:sz w:val="24"/>
        </w:rPr>
        <w:t>全体同意事项的范围可根据具体项目进行调整</w:t>
      </w:r>
      <w:r>
        <w:rPr>
          <w:rFonts w:eastAsia="楷体_GB2312"/>
          <w:b/>
          <w:i/>
          <w:color w:val="FF0000"/>
          <w:sz w:val="24"/>
          <w:szCs w:val="24"/>
        </w:rPr>
        <w:t>。】</w:t>
      </w:r>
    </w:p>
    <w:p w14:paraId="5BCE2643">
      <w:pPr>
        <w:tabs>
          <w:tab w:val="left" w:pos="1800"/>
          <w:tab w:val="left" w:pos="1980"/>
        </w:tabs>
        <w:spacing w:line="380" w:lineRule="exact"/>
        <w:rPr>
          <w:rFonts w:eastAsia="楷体_GB2312"/>
          <w:b/>
          <w:sz w:val="24"/>
        </w:rPr>
      </w:pPr>
    </w:p>
    <w:p w14:paraId="0E9EB541">
      <w:pPr>
        <w:numPr>
          <w:ilvl w:val="1"/>
          <w:numId w:val="4"/>
        </w:numPr>
        <w:tabs>
          <w:tab w:val="left" w:pos="1800"/>
          <w:tab w:val="left" w:pos="1980"/>
        </w:tabs>
        <w:spacing w:line="380" w:lineRule="exact"/>
        <w:outlineLvl w:val="1"/>
        <w:rPr>
          <w:rFonts w:eastAsia="楷体_GB2312"/>
          <w:b/>
          <w:sz w:val="24"/>
        </w:rPr>
      </w:pPr>
      <w:bookmarkStart w:id="592" w:name="_Toc172736606"/>
      <w:r>
        <w:rPr>
          <w:rFonts w:eastAsia="楷体_GB2312"/>
          <w:b/>
          <w:sz w:val="24"/>
        </w:rPr>
        <w:t>特别决议事项</w:t>
      </w:r>
      <w:bookmarkEnd w:id="592"/>
    </w:p>
    <w:p w14:paraId="799C3B14">
      <w:pPr>
        <w:tabs>
          <w:tab w:val="left" w:pos="1800"/>
          <w:tab w:val="left" w:pos="1980"/>
        </w:tabs>
        <w:spacing w:line="380" w:lineRule="exact"/>
        <w:rPr>
          <w:rFonts w:eastAsia="楷体_GB2312"/>
          <w:b/>
          <w:sz w:val="24"/>
        </w:rPr>
      </w:pPr>
    </w:p>
    <w:p w14:paraId="79935E81">
      <w:pPr>
        <w:spacing w:line="380" w:lineRule="atLeast"/>
        <w:ind w:left="912" w:leftChars="456"/>
        <w:rPr>
          <w:rFonts w:eastAsia="楷体_GB2312"/>
          <w:sz w:val="24"/>
        </w:rPr>
      </w:pPr>
      <w:r>
        <w:rPr>
          <w:rFonts w:eastAsia="楷体_GB2312"/>
          <w:sz w:val="24"/>
        </w:rPr>
        <w:t>每一类别的“资产支持证券持有人”组成的“资产支持证券持有人大会”就下列事项（下称“特别决议事项”）所形成的决议，必须经单独或合计持有本类别“资产支持证券”“未偿本金余额”【】%以上的“资产支持证券持有人”出席，且经出席“资产支持证券持有人”表决权总数的【】%以上的同意：</w:t>
      </w:r>
    </w:p>
    <w:p w14:paraId="259D7EF7">
      <w:pPr>
        <w:autoSpaceDE w:val="0"/>
        <w:autoSpaceDN w:val="0"/>
        <w:adjustRightInd w:val="0"/>
        <w:spacing w:line="380" w:lineRule="exact"/>
        <w:ind w:left="1828" w:leftChars="914"/>
        <w:rPr>
          <w:rFonts w:eastAsia="楷体_GB2312"/>
          <w:sz w:val="24"/>
        </w:rPr>
      </w:pPr>
    </w:p>
    <w:p w14:paraId="261C8633">
      <w:pPr>
        <w:numPr>
          <w:ilvl w:val="2"/>
          <w:numId w:val="4"/>
        </w:numPr>
        <w:tabs>
          <w:tab w:val="left" w:pos="900"/>
        </w:tabs>
        <w:spacing w:line="380" w:lineRule="atLeast"/>
        <w:ind w:left="1620" w:hanging="769"/>
        <w:rPr>
          <w:rFonts w:eastAsia="楷体_GB2312"/>
          <w:sz w:val="24"/>
        </w:rPr>
      </w:pPr>
      <w:r>
        <w:rPr>
          <w:rFonts w:eastAsia="楷体_GB2312"/>
          <w:sz w:val="24"/>
        </w:rPr>
        <w:t>发生“加速清偿事件”中的</w:t>
      </w:r>
      <w:r>
        <w:rPr>
          <w:rFonts w:eastAsia="楷体_GB2312"/>
        </w:rPr>
        <w:t>【（）】</w:t>
      </w:r>
      <w:r>
        <w:rPr>
          <w:rFonts w:eastAsia="楷体_GB2312"/>
          <w:sz w:val="24"/>
        </w:rPr>
        <w:t>项至</w:t>
      </w:r>
      <w:r>
        <w:rPr>
          <w:rFonts w:eastAsia="楷体_GB2312"/>
        </w:rPr>
        <w:t>【（）】</w:t>
      </w:r>
      <w:r>
        <w:rPr>
          <w:rFonts w:eastAsia="楷体_GB2312"/>
          <w:sz w:val="24"/>
        </w:rPr>
        <w:t>项后，决定是否宣布发生“加速清偿事件”；</w:t>
      </w:r>
    </w:p>
    <w:p w14:paraId="2F551C68">
      <w:pPr>
        <w:autoSpaceDE w:val="0"/>
        <w:autoSpaceDN w:val="0"/>
        <w:adjustRightInd w:val="0"/>
        <w:spacing w:line="380" w:lineRule="exact"/>
        <w:ind w:left="2459"/>
        <w:rPr>
          <w:rFonts w:eastAsia="楷体_GB2312"/>
          <w:sz w:val="24"/>
        </w:rPr>
      </w:pPr>
    </w:p>
    <w:p w14:paraId="6F2F9F5D">
      <w:pPr>
        <w:numPr>
          <w:ilvl w:val="2"/>
          <w:numId w:val="4"/>
        </w:numPr>
        <w:tabs>
          <w:tab w:val="left" w:pos="900"/>
        </w:tabs>
        <w:spacing w:line="380" w:lineRule="atLeast"/>
        <w:ind w:left="1620" w:hanging="769"/>
        <w:rPr>
          <w:rFonts w:eastAsia="楷体_GB2312"/>
          <w:sz w:val="24"/>
        </w:rPr>
      </w:pPr>
      <w:r>
        <w:rPr>
          <w:rFonts w:eastAsia="楷体_GB2312"/>
          <w:sz w:val="24"/>
        </w:rPr>
        <w:t>发生“违约事件”中的</w:t>
      </w:r>
      <w:r>
        <w:rPr>
          <w:rFonts w:eastAsia="楷体_GB2312"/>
        </w:rPr>
        <w:t>【（）】</w:t>
      </w:r>
      <w:r>
        <w:rPr>
          <w:rFonts w:eastAsia="楷体_GB2312"/>
          <w:sz w:val="24"/>
        </w:rPr>
        <w:t>项后，决定是否宣布构成“违约事件”；</w:t>
      </w:r>
    </w:p>
    <w:p w14:paraId="1101ADF8">
      <w:pPr>
        <w:autoSpaceDE w:val="0"/>
        <w:autoSpaceDN w:val="0"/>
        <w:adjustRightInd w:val="0"/>
        <w:spacing w:line="380" w:lineRule="exact"/>
        <w:ind w:left="1271"/>
        <w:rPr>
          <w:rFonts w:eastAsia="楷体_GB2312"/>
          <w:sz w:val="24"/>
        </w:rPr>
      </w:pPr>
    </w:p>
    <w:p w14:paraId="087BCE40">
      <w:pPr>
        <w:numPr>
          <w:ilvl w:val="2"/>
          <w:numId w:val="4"/>
        </w:numPr>
        <w:tabs>
          <w:tab w:val="left" w:pos="900"/>
        </w:tabs>
        <w:spacing w:line="380" w:lineRule="atLeast"/>
        <w:ind w:left="1620" w:hanging="769"/>
        <w:rPr>
          <w:rFonts w:eastAsia="楷体_GB2312"/>
          <w:sz w:val="24"/>
        </w:rPr>
      </w:pPr>
      <w:r>
        <w:rPr>
          <w:rFonts w:eastAsia="楷体_GB2312"/>
          <w:sz w:val="24"/>
        </w:rPr>
        <w:t>批准更换“受托人”、“贷款服务机构”、“资金保管机构”；</w:t>
      </w:r>
    </w:p>
    <w:p w14:paraId="10A427D9">
      <w:pPr>
        <w:autoSpaceDE w:val="0"/>
        <w:autoSpaceDN w:val="0"/>
        <w:adjustRightInd w:val="0"/>
        <w:spacing w:line="380" w:lineRule="exact"/>
        <w:ind w:left="1620"/>
        <w:rPr>
          <w:rFonts w:eastAsia="楷体_GB2312"/>
          <w:sz w:val="24"/>
        </w:rPr>
      </w:pPr>
    </w:p>
    <w:p w14:paraId="049964F6">
      <w:pPr>
        <w:numPr>
          <w:ilvl w:val="2"/>
          <w:numId w:val="4"/>
        </w:numPr>
        <w:tabs>
          <w:tab w:val="left" w:pos="900"/>
        </w:tabs>
        <w:spacing w:line="380" w:lineRule="atLeast"/>
        <w:ind w:left="1620" w:hanging="769"/>
        <w:rPr>
          <w:rFonts w:eastAsia="楷体_GB2312"/>
          <w:sz w:val="24"/>
        </w:rPr>
      </w:pPr>
      <w:r>
        <w:rPr>
          <w:rFonts w:eastAsia="楷体_GB2312"/>
          <w:sz w:val="24"/>
        </w:rPr>
        <w:t>改变本类别“资产支持证券”的“法定到期日”；</w:t>
      </w:r>
    </w:p>
    <w:p w14:paraId="0BC2DC88">
      <w:pPr>
        <w:autoSpaceDE w:val="0"/>
        <w:autoSpaceDN w:val="0"/>
        <w:adjustRightInd w:val="0"/>
        <w:spacing w:line="380" w:lineRule="exact"/>
        <w:rPr>
          <w:rFonts w:eastAsia="楷体_GB2312"/>
          <w:sz w:val="24"/>
        </w:rPr>
      </w:pPr>
    </w:p>
    <w:p w14:paraId="4D92F27F">
      <w:pPr>
        <w:numPr>
          <w:ilvl w:val="2"/>
          <w:numId w:val="4"/>
        </w:numPr>
        <w:tabs>
          <w:tab w:val="left" w:pos="900"/>
        </w:tabs>
        <w:spacing w:line="380" w:lineRule="atLeast"/>
        <w:ind w:left="1620" w:hanging="769"/>
        <w:rPr>
          <w:rFonts w:eastAsia="楷体_GB2312"/>
          <w:sz w:val="24"/>
        </w:rPr>
      </w:pPr>
      <w:r>
        <w:rPr>
          <w:rFonts w:eastAsia="楷体_GB2312"/>
          <w:sz w:val="24"/>
        </w:rPr>
        <w:t>减少或取消本类别“资产支持证券”的本金金额或利率；</w:t>
      </w:r>
    </w:p>
    <w:p w14:paraId="196DC89B">
      <w:pPr>
        <w:autoSpaceDE w:val="0"/>
        <w:autoSpaceDN w:val="0"/>
        <w:adjustRightInd w:val="0"/>
        <w:spacing w:line="380" w:lineRule="exact"/>
        <w:rPr>
          <w:rFonts w:eastAsia="楷体_GB2312"/>
          <w:sz w:val="24"/>
        </w:rPr>
      </w:pPr>
    </w:p>
    <w:p w14:paraId="23B5AD50">
      <w:pPr>
        <w:numPr>
          <w:ilvl w:val="2"/>
          <w:numId w:val="4"/>
        </w:numPr>
        <w:tabs>
          <w:tab w:val="left" w:pos="900"/>
        </w:tabs>
        <w:spacing w:line="380" w:lineRule="atLeast"/>
        <w:ind w:left="1620" w:hanging="769"/>
        <w:rPr>
          <w:rFonts w:eastAsia="楷体_GB2312"/>
          <w:sz w:val="24"/>
        </w:rPr>
      </w:pPr>
      <w:r>
        <w:rPr>
          <w:rFonts w:eastAsia="楷体_GB2312"/>
          <w:sz w:val="24"/>
        </w:rPr>
        <w:t>改变对本类别“资产支持证券”的支付币种；</w:t>
      </w:r>
    </w:p>
    <w:p w14:paraId="0BC6A916">
      <w:pPr>
        <w:autoSpaceDE w:val="0"/>
        <w:autoSpaceDN w:val="0"/>
        <w:adjustRightInd w:val="0"/>
        <w:spacing w:line="380" w:lineRule="exact"/>
        <w:rPr>
          <w:rFonts w:eastAsia="楷体_GB2312"/>
          <w:sz w:val="24"/>
        </w:rPr>
      </w:pPr>
    </w:p>
    <w:p w14:paraId="5F516E5B">
      <w:pPr>
        <w:numPr>
          <w:ilvl w:val="2"/>
          <w:numId w:val="4"/>
        </w:numPr>
        <w:tabs>
          <w:tab w:val="left" w:pos="900"/>
        </w:tabs>
        <w:spacing w:line="380" w:lineRule="atLeast"/>
        <w:ind w:left="1620" w:hanging="769"/>
        <w:rPr>
          <w:rFonts w:eastAsia="楷体_GB2312"/>
          <w:sz w:val="24"/>
        </w:rPr>
      </w:pPr>
      <w:r>
        <w:rPr>
          <w:rFonts w:eastAsia="楷体_GB2312"/>
          <w:sz w:val="24"/>
        </w:rPr>
        <w:t>批准涉及修改本类别“资产支持证券持有人”权利的提案；</w:t>
      </w:r>
    </w:p>
    <w:p w14:paraId="52039032">
      <w:pPr>
        <w:autoSpaceDE w:val="0"/>
        <w:autoSpaceDN w:val="0"/>
        <w:adjustRightInd w:val="0"/>
        <w:spacing w:line="380" w:lineRule="exact"/>
        <w:rPr>
          <w:rFonts w:eastAsia="楷体_GB2312"/>
          <w:sz w:val="24"/>
        </w:rPr>
      </w:pPr>
    </w:p>
    <w:p w14:paraId="6DBFA0A8">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提高</w:t>
      </w:r>
      <w:r>
        <w:rPr>
          <w:rFonts w:eastAsia="楷体_GB2312"/>
          <w:sz w:val="24"/>
        </w:rPr>
        <w:t>“受托人”</w:t>
      </w:r>
      <w:r>
        <w:rPr>
          <w:rFonts w:hint="eastAsia" w:eastAsia="楷体_GB2312"/>
          <w:sz w:val="24"/>
        </w:rPr>
        <w:t>或</w:t>
      </w:r>
      <w:r>
        <w:rPr>
          <w:rFonts w:eastAsia="楷体_GB2312"/>
          <w:sz w:val="24"/>
        </w:rPr>
        <w:t>“</w:t>
      </w:r>
      <w:r>
        <w:rPr>
          <w:rFonts w:hint="eastAsia" w:eastAsia="楷体_GB2312"/>
          <w:sz w:val="24"/>
        </w:rPr>
        <w:t>贷款服务机构</w:t>
      </w:r>
      <w:r>
        <w:rPr>
          <w:rFonts w:eastAsia="楷体_GB2312"/>
          <w:sz w:val="24"/>
        </w:rPr>
        <w:t>”</w:t>
      </w:r>
      <w:r>
        <w:rPr>
          <w:rFonts w:hint="eastAsia" w:eastAsia="楷体_GB2312"/>
          <w:sz w:val="24"/>
        </w:rPr>
        <w:t>的</w:t>
      </w:r>
      <w:r>
        <w:rPr>
          <w:rFonts w:eastAsia="楷体_GB2312"/>
          <w:color w:val="000000"/>
          <w:sz w:val="24"/>
        </w:rPr>
        <w:t>服务</w:t>
      </w:r>
      <w:r>
        <w:rPr>
          <w:rFonts w:eastAsia="楷体_GB2312"/>
          <w:sz w:val="24"/>
        </w:rPr>
        <w:t>报酬</w:t>
      </w:r>
      <w:r>
        <w:rPr>
          <w:rFonts w:eastAsia="楷体_GB2312"/>
          <w:color w:val="000000"/>
          <w:sz w:val="24"/>
        </w:rPr>
        <w:t>；</w:t>
      </w:r>
    </w:p>
    <w:p w14:paraId="6B834CB5">
      <w:pPr>
        <w:autoSpaceDE w:val="0"/>
        <w:autoSpaceDN w:val="0"/>
        <w:adjustRightInd w:val="0"/>
        <w:spacing w:line="380" w:lineRule="exact"/>
        <w:rPr>
          <w:rFonts w:eastAsia="楷体_GB2312"/>
          <w:sz w:val="24"/>
        </w:rPr>
      </w:pPr>
    </w:p>
    <w:p w14:paraId="2722A960">
      <w:pPr>
        <w:numPr>
          <w:ilvl w:val="2"/>
          <w:numId w:val="4"/>
        </w:numPr>
        <w:tabs>
          <w:tab w:val="left" w:pos="900"/>
        </w:tabs>
        <w:spacing w:line="380" w:lineRule="atLeast"/>
        <w:ind w:left="1620" w:hanging="769"/>
        <w:rPr>
          <w:rFonts w:eastAsia="楷体_GB2312"/>
          <w:sz w:val="24"/>
        </w:rPr>
      </w:pPr>
      <w:r>
        <w:rPr>
          <w:rFonts w:eastAsia="楷体_GB2312"/>
          <w:sz w:val="24"/>
        </w:rPr>
        <w:t>批准“受托人”或其他方提议的对“交易文件”任何条款的重大修改、更正或补充；</w:t>
      </w:r>
    </w:p>
    <w:p w14:paraId="77C897D2">
      <w:pPr>
        <w:autoSpaceDE w:val="0"/>
        <w:autoSpaceDN w:val="0"/>
        <w:adjustRightInd w:val="0"/>
        <w:spacing w:line="380" w:lineRule="exact"/>
        <w:ind w:left="1620"/>
        <w:rPr>
          <w:rFonts w:eastAsia="楷体_GB2312"/>
          <w:sz w:val="24"/>
        </w:rPr>
      </w:pPr>
    </w:p>
    <w:p w14:paraId="65754C39">
      <w:pPr>
        <w:numPr>
          <w:ilvl w:val="2"/>
          <w:numId w:val="4"/>
        </w:numPr>
        <w:tabs>
          <w:tab w:val="left" w:pos="900"/>
        </w:tabs>
        <w:spacing w:line="380" w:lineRule="atLeast"/>
        <w:ind w:left="1620" w:hanging="769"/>
        <w:rPr>
          <w:rFonts w:eastAsia="楷体_GB2312"/>
          <w:sz w:val="24"/>
        </w:rPr>
      </w:pPr>
      <w:r>
        <w:rPr>
          <w:rFonts w:eastAsia="楷体_GB2312"/>
          <w:sz w:val="24"/>
        </w:rPr>
        <w:t>授权“受托人”签署并做出全部必要文件、行动或事项，以便执行“资产支持证券持有人大会”就“特别决议事项”所形成的决议；</w:t>
      </w:r>
    </w:p>
    <w:p w14:paraId="5FFA0723">
      <w:pPr>
        <w:autoSpaceDE w:val="0"/>
        <w:autoSpaceDN w:val="0"/>
        <w:adjustRightInd w:val="0"/>
        <w:spacing w:line="380" w:lineRule="exact"/>
        <w:rPr>
          <w:rFonts w:eastAsia="楷体_GB2312"/>
          <w:sz w:val="24"/>
        </w:rPr>
      </w:pPr>
    </w:p>
    <w:p w14:paraId="15F0C127">
      <w:pPr>
        <w:numPr>
          <w:ilvl w:val="2"/>
          <w:numId w:val="4"/>
        </w:numPr>
        <w:tabs>
          <w:tab w:val="left" w:pos="900"/>
        </w:tabs>
        <w:spacing w:line="380" w:lineRule="atLeast"/>
        <w:ind w:left="1620" w:hanging="769"/>
        <w:rPr>
          <w:rFonts w:eastAsia="楷体_GB2312"/>
          <w:sz w:val="24"/>
        </w:rPr>
      </w:pPr>
      <w:r>
        <w:rPr>
          <w:rFonts w:eastAsia="楷体_GB2312"/>
          <w:sz w:val="24"/>
        </w:rPr>
        <w:t>选任代表（无论其是否为“资产支持证券持有人”），授权该代表执行“资产支持证券持有人大会”就“特别决议事项”所形成的决议；</w:t>
      </w:r>
    </w:p>
    <w:p w14:paraId="502EBD2C">
      <w:pPr>
        <w:autoSpaceDE w:val="0"/>
        <w:autoSpaceDN w:val="0"/>
        <w:adjustRightInd w:val="0"/>
        <w:spacing w:line="380" w:lineRule="exact"/>
        <w:ind w:left="1620"/>
        <w:rPr>
          <w:rFonts w:eastAsia="楷体_GB2312"/>
          <w:sz w:val="24"/>
        </w:rPr>
      </w:pPr>
    </w:p>
    <w:p w14:paraId="2C1C302E">
      <w:pPr>
        <w:numPr>
          <w:ilvl w:val="2"/>
          <w:numId w:val="4"/>
        </w:numPr>
        <w:tabs>
          <w:tab w:val="left" w:pos="900"/>
        </w:tabs>
        <w:spacing w:line="380" w:lineRule="atLeast"/>
        <w:ind w:left="1620" w:hanging="769"/>
        <w:rPr>
          <w:rFonts w:eastAsia="楷体_GB2312"/>
          <w:sz w:val="24"/>
        </w:rPr>
      </w:pPr>
      <w:r>
        <w:rPr>
          <w:rFonts w:eastAsia="楷体_GB2312"/>
          <w:sz w:val="24"/>
        </w:rPr>
        <w:t>解除或免除“受托人”根据任何“交易文件”本应承担的任何责任和义务；</w:t>
      </w:r>
    </w:p>
    <w:p w14:paraId="50711D77">
      <w:pPr>
        <w:autoSpaceDE w:val="0"/>
        <w:autoSpaceDN w:val="0"/>
        <w:adjustRightInd w:val="0"/>
        <w:spacing w:line="380" w:lineRule="exact"/>
        <w:rPr>
          <w:rFonts w:eastAsia="楷体_GB2312"/>
          <w:sz w:val="24"/>
        </w:rPr>
      </w:pPr>
    </w:p>
    <w:p w14:paraId="1E844662">
      <w:pPr>
        <w:numPr>
          <w:ilvl w:val="2"/>
          <w:numId w:val="4"/>
        </w:numPr>
        <w:tabs>
          <w:tab w:val="left" w:pos="900"/>
        </w:tabs>
        <w:spacing w:line="380" w:lineRule="atLeast"/>
        <w:ind w:left="1620" w:hanging="769"/>
        <w:rPr>
          <w:rFonts w:eastAsia="楷体_GB2312"/>
          <w:sz w:val="24"/>
        </w:rPr>
      </w:pPr>
      <w:r>
        <w:rPr>
          <w:rFonts w:eastAsia="楷体_GB2312"/>
          <w:sz w:val="24"/>
        </w:rPr>
        <w:t>批准“受托人”根据“《信托合同》”提交的“信托财产”清算方案；</w:t>
      </w:r>
    </w:p>
    <w:p w14:paraId="538CE382">
      <w:pPr>
        <w:autoSpaceDE w:val="0"/>
        <w:autoSpaceDN w:val="0"/>
        <w:adjustRightInd w:val="0"/>
        <w:spacing w:line="380" w:lineRule="exact"/>
        <w:ind w:left="851"/>
        <w:rPr>
          <w:rFonts w:eastAsia="楷体_GB2312"/>
          <w:sz w:val="24"/>
        </w:rPr>
      </w:pPr>
    </w:p>
    <w:p w14:paraId="5F00DE1F">
      <w:pPr>
        <w:pStyle w:val="78"/>
        <w:ind w:firstLine="480"/>
        <w:rPr>
          <w:rFonts w:eastAsia="楷体_GB2312"/>
          <w:sz w:val="24"/>
        </w:rPr>
      </w:pPr>
    </w:p>
    <w:p w14:paraId="3F563AAE">
      <w:pPr>
        <w:numPr>
          <w:ilvl w:val="2"/>
          <w:numId w:val="4"/>
        </w:numPr>
        <w:tabs>
          <w:tab w:val="left" w:pos="900"/>
        </w:tabs>
        <w:spacing w:line="380" w:lineRule="atLeast"/>
        <w:ind w:left="1620" w:hanging="769"/>
        <w:rPr>
          <w:rFonts w:eastAsia="楷体_GB2312"/>
          <w:sz w:val="24"/>
        </w:rPr>
      </w:pPr>
      <w:bookmarkStart w:id="593" w:name="_Ref42070908"/>
      <w:r>
        <w:rPr>
          <w:rFonts w:eastAsia="楷体_GB2312"/>
          <w:color w:val="000000"/>
          <w:sz w:val="24"/>
        </w:rPr>
        <w:t>增加</w:t>
      </w:r>
      <w:r>
        <w:rPr>
          <w:rFonts w:eastAsia="楷体_GB2312"/>
          <w:sz w:val="24"/>
        </w:rPr>
        <w:t>“贷款服务机构”</w:t>
      </w:r>
      <w:r>
        <w:rPr>
          <w:rFonts w:eastAsia="楷体_GB2312"/>
          <w:color w:val="000000"/>
          <w:sz w:val="24"/>
        </w:rPr>
        <w:t>的“资产服务费”</w:t>
      </w:r>
      <w:bookmarkEnd w:id="593"/>
      <w:r>
        <w:rPr>
          <w:rFonts w:eastAsia="楷体_GB2312"/>
          <w:sz w:val="24"/>
        </w:rPr>
        <w:t>。</w:t>
      </w:r>
    </w:p>
    <w:p w14:paraId="6A1602DE">
      <w:pPr>
        <w:spacing w:line="380" w:lineRule="exact"/>
        <w:rPr>
          <w:rFonts w:eastAsia="楷体_GB2312"/>
          <w:sz w:val="24"/>
        </w:rPr>
      </w:pPr>
    </w:p>
    <w:p w14:paraId="697900CC">
      <w:pPr>
        <w:numPr>
          <w:ilvl w:val="1"/>
          <w:numId w:val="4"/>
        </w:numPr>
        <w:tabs>
          <w:tab w:val="left" w:pos="1800"/>
          <w:tab w:val="left" w:pos="1980"/>
        </w:tabs>
        <w:spacing w:line="380" w:lineRule="exact"/>
        <w:outlineLvl w:val="1"/>
        <w:rPr>
          <w:rFonts w:eastAsia="楷体_GB2312"/>
          <w:b/>
          <w:sz w:val="24"/>
        </w:rPr>
      </w:pPr>
      <w:bookmarkStart w:id="594" w:name="_Ref51239483"/>
      <w:bookmarkStart w:id="595" w:name="_Toc172736607"/>
      <w:bookmarkStart w:id="596" w:name="_Ref161132275"/>
      <w:r>
        <w:rPr>
          <w:rFonts w:eastAsia="楷体_GB2312"/>
          <w:b/>
          <w:sz w:val="24"/>
        </w:rPr>
        <w:t>普通决议事项</w:t>
      </w:r>
      <w:bookmarkEnd w:id="594"/>
      <w:bookmarkEnd w:id="595"/>
    </w:p>
    <w:p w14:paraId="62207F81">
      <w:pPr>
        <w:tabs>
          <w:tab w:val="left" w:pos="1800"/>
          <w:tab w:val="left" w:pos="1980"/>
        </w:tabs>
        <w:spacing w:line="380" w:lineRule="exact"/>
        <w:ind w:left="425"/>
        <w:rPr>
          <w:rFonts w:eastAsia="楷体_GB2312"/>
          <w:b/>
          <w:sz w:val="24"/>
        </w:rPr>
      </w:pPr>
    </w:p>
    <w:p w14:paraId="13C85933">
      <w:pPr>
        <w:numPr>
          <w:ilvl w:val="2"/>
          <w:numId w:val="4"/>
        </w:numPr>
        <w:tabs>
          <w:tab w:val="left" w:pos="900"/>
        </w:tabs>
        <w:spacing w:line="380" w:lineRule="atLeast"/>
        <w:ind w:left="1620" w:hanging="769"/>
        <w:rPr>
          <w:rFonts w:eastAsia="楷体_GB2312"/>
          <w:sz w:val="24"/>
        </w:rPr>
      </w:pPr>
      <w:r>
        <w:rPr>
          <w:rFonts w:eastAsia="楷体_GB2312"/>
          <w:sz w:val="24"/>
        </w:rPr>
        <w:t>除“全体同意事项”和“特别决议事项”以外的事项为“普通决议事项”。</w:t>
      </w:r>
    </w:p>
    <w:p w14:paraId="0812AB22">
      <w:pPr>
        <w:tabs>
          <w:tab w:val="left" w:pos="1800"/>
          <w:tab w:val="left" w:pos="1980"/>
        </w:tabs>
        <w:spacing w:line="380" w:lineRule="exact"/>
        <w:ind w:left="851"/>
        <w:rPr>
          <w:rFonts w:eastAsia="楷体_GB2312"/>
          <w:sz w:val="24"/>
        </w:rPr>
      </w:pPr>
    </w:p>
    <w:p w14:paraId="4F3BF445">
      <w:pPr>
        <w:numPr>
          <w:ilvl w:val="2"/>
          <w:numId w:val="4"/>
        </w:numPr>
        <w:tabs>
          <w:tab w:val="left" w:pos="900"/>
        </w:tabs>
        <w:spacing w:line="380" w:lineRule="atLeast"/>
        <w:ind w:left="1620" w:hanging="769"/>
        <w:rPr>
          <w:rFonts w:eastAsia="楷体_GB2312"/>
          <w:sz w:val="24"/>
        </w:rPr>
      </w:pPr>
      <w:r>
        <w:rPr>
          <w:rFonts w:eastAsia="楷体_GB2312"/>
          <w:sz w:val="24"/>
        </w:rPr>
        <w:t>每一类别的“资产支持证券持有人”组成的“资产支持证券持有人大会”就“普通决议事项”所形成的决议，必须经单独或合计持有本类别“资产支持证券”“未偿本金余额”【】%以上的“资产支持证券持有人”出席，且经出席“资产支持证券持有人”表决权总数的【】%以上的同意。</w:t>
      </w:r>
    </w:p>
    <w:p w14:paraId="4A16C864">
      <w:pPr>
        <w:spacing w:line="360" w:lineRule="auto"/>
        <w:ind w:left="420"/>
        <w:rPr>
          <w:rFonts w:eastAsia="楷体_GB2312"/>
          <w:b/>
          <w:bCs/>
          <w:i/>
          <w:iCs/>
          <w:color w:val="FF0000"/>
          <w:kern w:val="2"/>
          <w:sz w:val="24"/>
          <w:szCs w:val="24"/>
        </w:rPr>
      </w:pPr>
      <w:r>
        <w:rPr>
          <w:rFonts w:eastAsia="楷体_GB2312"/>
          <w:b/>
          <w:bCs/>
          <w:i/>
          <w:iCs/>
          <w:color w:val="FF0000"/>
          <w:kern w:val="2"/>
          <w:sz w:val="24"/>
          <w:szCs w:val="24"/>
        </w:rPr>
        <w:t>【注：特别决议事项、普通决议事项所含事项内容及表决权要求，可根据项目安排进行调整。】</w:t>
      </w:r>
    </w:p>
    <w:p w14:paraId="67128F8C">
      <w:pPr>
        <w:spacing w:line="360" w:lineRule="auto"/>
        <w:ind w:left="1560"/>
        <w:rPr>
          <w:rFonts w:eastAsia="楷体_GB2312"/>
          <w:b/>
          <w:bCs/>
          <w:i/>
          <w:iCs/>
          <w:color w:val="FF0000"/>
          <w:kern w:val="2"/>
          <w:sz w:val="24"/>
          <w:szCs w:val="24"/>
        </w:rPr>
      </w:pPr>
    </w:p>
    <w:p w14:paraId="4E19EB4A">
      <w:pPr>
        <w:numPr>
          <w:ilvl w:val="1"/>
          <w:numId w:val="4"/>
        </w:numPr>
        <w:tabs>
          <w:tab w:val="left" w:pos="1800"/>
          <w:tab w:val="left" w:pos="1980"/>
        </w:tabs>
        <w:spacing w:line="380" w:lineRule="exact"/>
        <w:outlineLvl w:val="1"/>
        <w:rPr>
          <w:rFonts w:eastAsia="楷体_GB2312"/>
          <w:b/>
          <w:sz w:val="24"/>
        </w:rPr>
      </w:pPr>
      <w:bookmarkStart w:id="597" w:name="_Ref56700619"/>
      <w:bookmarkStart w:id="598" w:name="_Toc172736608"/>
      <w:r>
        <w:rPr>
          <w:rFonts w:eastAsia="楷体_GB2312"/>
          <w:b/>
          <w:sz w:val="24"/>
        </w:rPr>
        <w:t>决议之间的冲突</w:t>
      </w:r>
      <w:bookmarkEnd w:id="596"/>
      <w:bookmarkEnd w:id="597"/>
      <w:bookmarkEnd w:id="598"/>
    </w:p>
    <w:p w14:paraId="53645245">
      <w:pPr>
        <w:autoSpaceDE w:val="0"/>
        <w:autoSpaceDN w:val="0"/>
        <w:adjustRightInd w:val="0"/>
        <w:spacing w:line="380" w:lineRule="exact"/>
        <w:rPr>
          <w:rFonts w:eastAsia="楷体_GB2312"/>
          <w:sz w:val="24"/>
        </w:rPr>
      </w:pPr>
    </w:p>
    <w:p w14:paraId="4AB4F97B">
      <w:pPr>
        <w:autoSpaceDE w:val="0"/>
        <w:autoSpaceDN w:val="0"/>
        <w:adjustRightInd w:val="0"/>
        <w:spacing w:line="380" w:lineRule="exact"/>
        <w:ind w:left="944" w:leftChars="472"/>
        <w:rPr>
          <w:rFonts w:eastAsia="楷体_GB2312"/>
          <w:sz w:val="24"/>
        </w:rPr>
      </w:pPr>
      <w:bookmarkStart w:id="599" w:name="_Ref56701764"/>
      <w:r>
        <w:rPr>
          <w:rFonts w:eastAsia="楷体_GB2312"/>
          <w:sz w:val="24"/>
        </w:rPr>
        <w:t>如果不同类别“资产支持证券持有人大会”就同一事项所做的决议不同，或存在冲突，应按照如下规则确定“资产支持证券持有人大会”就该事项所做的决议的结果：【如果“优先A档资产支持证券”本息尚未清偿完毕，应以“优先A档资产支持证券持有人”组成的“资产支持证券持有人大会”的决议为准；当“优先A档资产支持证券”已清偿完毕，如果“优先B档资产支持证券”本息尚未清偿完毕，应以“优先B档资产支持证券持有人”组成的“资产支持证券持有人大会”的决议为准】；当全部“优先级资产支持证券”已清偿完毕，应以“次级资产支持证券持有人”组成的“资产支持证券持有人大会”的决议为准。其中，如果相关类别“资产支持证券持有人大会”没有就某一事项形成决议，则视为该类别“资产支持证券持有人大会”不同意其他类别的“资产支持证券持有人大会”就该事项形成的决议。</w:t>
      </w:r>
      <w:bookmarkEnd w:id="599"/>
    </w:p>
    <w:p w14:paraId="1BD3CA6A">
      <w:pPr>
        <w:autoSpaceDE w:val="0"/>
        <w:autoSpaceDN w:val="0"/>
        <w:adjustRightInd w:val="0"/>
        <w:spacing w:line="380" w:lineRule="exact"/>
        <w:ind w:firstLine="723" w:firstLineChars="300"/>
        <w:jc w:val="left"/>
        <w:rPr>
          <w:rFonts w:eastAsia="楷体_GB2312"/>
          <w:b/>
          <w:i/>
          <w:iCs/>
          <w:color w:val="FF0000"/>
          <w:sz w:val="24"/>
        </w:rPr>
      </w:pPr>
      <w:r>
        <w:rPr>
          <w:rFonts w:eastAsia="楷体_GB2312"/>
          <w:b/>
          <w:i/>
          <w:iCs/>
          <w:color w:val="FF0000"/>
          <w:sz w:val="24"/>
        </w:rPr>
        <w:t>【注：此处可根据资产支持证券分层情况进一步细分。】</w:t>
      </w:r>
    </w:p>
    <w:p w14:paraId="2708F91C">
      <w:pPr>
        <w:autoSpaceDE w:val="0"/>
        <w:autoSpaceDN w:val="0"/>
        <w:adjustRightInd w:val="0"/>
        <w:spacing w:line="380" w:lineRule="exact"/>
        <w:ind w:firstLine="720" w:firstLineChars="300"/>
        <w:jc w:val="left"/>
        <w:rPr>
          <w:rFonts w:eastAsia="楷体_GB2312"/>
          <w:sz w:val="24"/>
        </w:rPr>
      </w:pPr>
    </w:p>
    <w:p w14:paraId="1E496E48">
      <w:pPr>
        <w:numPr>
          <w:ilvl w:val="1"/>
          <w:numId w:val="4"/>
        </w:numPr>
        <w:spacing w:line="380" w:lineRule="exact"/>
        <w:outlineLvl w:val="1"/>
        <w:rPr>
          <w:rFonts w:eastAsia="楷体_GB2312"/>
          <w:b/>
          <w:sz w:val="24"/>
        </w:rPr>
      </w:pPr>
      <w:bookmarkStart w:id="600" w:name="_Toc172736610"/>
      <w:bookmarkStart w:id="601" w:name="_Ref122639983"/>
      <w:bookmarkStart w:id="602" w:name="_Toc151554361"/>
      <w:bookmarkStart w:id="603" w:name="_Toc152168195"/>
      <w:bookmarkStart w:id="604" w:name="_Toc152168751"/>
      <w:r>
        <w:rPr>
          <w:rFonts w:eastAsia="楷体_GB2312"/>
          <w:b/>
          <w:sz w:val="24"/>
        </w:rPr>
        <w:t>决议的执行</w:t>
      </w:r>
      <w:bookmarkEnd w:id="600"/>
      <w:bookmarkEnd w:id="601"/>
    </w:p>
    <w:p w14:paraId="02188219">
      <w:pPr>
        <w:spacing w:line="380" w:lineRule="exact"/>
        <w:ind w:left="425"/>
        <w:rPr>
          <w:rFonts w:eastAsia="楷体_GB2312"/>
          <w:b/>
          <w:sz w:val="24"/>
        </w:rPr>
      </w:pPr>
    </w:p>
    <w:p w14:paraId="0143A691">
      <w:pPr>
        <w:numPr>
          <w:ilvl w:val="2"/>
          <w:numId w:val="4"/>
        </w:numPr>
        <w:tabs>
          <w:tab w:val="left" w:pos="900"/>
        </w:tabs>
        <w:spacing w:line="380" w:lineRule="atLeast"/>
        <w:ind w:left="1620" w:hanging="769"/>
        <w:rPr>
          <w:rFonts w:eastAsia="楷体_GB2312"/>
          <w:b/>
          <w:sz w:val="24"/>
        </w:rPr>
      </w:pPr>
      <w:bookmarkStart w:id="605" w:name="_Ref161653618"/>
      <w:bookmarkStart w:id="606" w:name="_Ref173767756"/>
      <w:r>
        <w:rPr>
          <w:rFonts w:eastAsia="楷体_GB2312"/>
          <w:sz w:val="24"/>
        </w:rPr>
        <w:t>“资产支持证券持有人大会”的决议，由“资产支持证券持有人大会”选任的人执行。</w:t>
      </w:r>
      <w:bookmarkEnd w:id="605"/>
      <w:r>
        <w:rPr>
          <w:rFonts w:eastAsia="楷体_GB2312"/>
          <w:sz w:val="24"/>
        </w:rPr>
        <w:t>“资产支持证券持有人大会”可以授权“受托人”执行“资产支持证券持有人大会”的决议。</w:t>
      </w:r>
      <w:bookmarkEnd w:id="606"/>
    </w:p>
    <w:p w14:paraId="1B59C5F9">
      <w:pPr>
        <w:spacing w:line="380" w:lineRule="exact"/>
        <w:ind w:left="851"/>
        <w:rPr>
          <w:rFonts w:eastAsia="楷体_GB2312"/>
          <w:b/>
          <w:sz w:val="24"/>
        </w:rPr>
      </w:pPr>
    </w:p>
    <w:p w14:paraId="5E0C9BE5">
      <w:pPr>
        <w:numPr>
          <w:ilvl w:val="2"/>
          <w:numId w:val="4"/>
        </w:numPr>
        <w:tabs>
          <w:tab w:val="left" w:pos="900"/>
        </w:tabs>
        <w:spacing w:line="380" w:lineRule="atLeast"/>
        <w:ind w:left="1620" w:hanging="769"/>
        <w:rPr>
          <w:rFonts w:eastAsia="楷体_GB2312"/>
          <w:b/>
          <w:sz w:val="24"/>
        </w:rPr>
      </w:pPr>
      <w:r>
        <w:rPr>
          <w:rFonts w:eastAsia="楷体_GB2312"/>
          <w:sz w:val="24"/>
        </w:rPr>
        <w:t>“资产支持证券持有人大会”选任的人，可以代表“资产支持证券持有人”，为全体“资产支持证券持有人”利益进行有关“信托”的诉讼上或诉讼外的行为。</w:t>
      </w:r>
    </w:p>
    <w:p w14:paraId="24C580F7">
      <w:pPr>
        <w:spacing w:line="380" w:lineRule="exact"/>
        <w:rPr>
          <w:rFonts w:eastAsia="楷体_GB2312"/>
          <w:b/>
          <w:sz w:val="24"/>
        </w:rPr>
      </w:pPr>
    </w:p>
    <w:p w14:paraId="47F13A94">
      <w:pPr>
        <w:numPr>
          <w:ilvl w:val="2"/>
          <w:numId w:val="4"/>
        </w:numPr>
        <w:tabs>
          <w:tab w:val="left" w:pos="900"/>
        </w:tabs>
        <w:spacing w:line="380" w:lineRule="atLeast"/>
        <w:ind w:left="1620" w:hanging="769"/>
        <w:rPr>
          <w:rFonts w:eastAsia="楷体_GB2312"/>
          <w:b/>
          <w:sz w:val="24"/>
        </w:rPr>
      </w:pPr>
      <w:r>
        <w:rPr>
          <w:rFonts w:eastAsia="楷体_GB2312"/>
          <w:sz w:val="24"/>
        </w:rPr>
        <w:t>本合同第</w:t>
      </w:r>
      <w:r>
        <w:rPr>
          <w:rFonts w:eastAsia="楷体_GB2312"/>
        </w:rPr>
        <w:fldChar w:fldCharType="begin"/>
      </w:r>
      <w:r>
        <w:rPr>
          <w:rFonts w:eastAsia="楷体_GB2312"/>
        </w:rPr>
        <w:instrText xml:space="preserve"> REF _Ref173767756 \r \h  \* MERGEFORMAT </w:instrText>
      </w:r>
      <w:r>
        <w:rPr>
          <w:rFonts w:eastAsia="楷体_GB2312"/>
        </w:rPr>
        <w:fldChar w:fldCharType="separate"/>
      </w:r>
      <w:r>
        <w:rPr>
          <w:rFonts w:eastAsia="楷体_GB2312"/>
          <w:sz w:val="24"/>
        </w:rPr>
        <w:t>18.9.1</w:t>
      </w:r>
      <w:r>
        <w:rPr>
          <w:rFonts w:eastAsia="楷体_GB2312"/>
        </w:rPr>
        <w:fldChar w:fldCharType="end"/>
      </w:r>
      <w:r>
        <w:rPr>
          <w:rFonts w:eastAsia="楷体_GB2312"/>
          <w:sz w:val="24"/>
        </w:rPr>
        <w:t>款所约定的由“资产支持证券持有人”选任的人，其权限、报酬、报酬之计算方法及支付时期等事项，应由“资产支持证券持有人大会”于选任该等人时一并予以决议。</w:t>
      </w:r>
    </w:p>
    <w:p w14:paraId="0C61181C">
      <w:pPr>
        <w:spacing w:line="380" w:lineRule="exact"/>
        <w:ind w:left="851"/>
        <w:rPr>
          <w:rFonts w:eastAsia="楷体_GB2312"/>
          <w:b/>
          <w:sz w:val="24"/>
        </w:rPr>
      </w:pPr>
    </w:p>
    <w:p w14:paraId="03E6A392">
      <w:pPr>
        <w:numPr>
          <w:ilvl w:val="1"/>
          <w:numId w:val="4"/>
        </w:numPr>
        <w:spacing w:line="380" w:lineRule="exact"/>
        <w:outlineLvl w:val="1"/>
        <w:rPr>
          <w:rFonts w:eastAsia="楷体_GB2312"/>
          <w:b/>
          <w:sz w:val="24"/>
        </w:rPr>
      </w:pPr>
      <w:r>
        <w:rPr>
          <w:rFonts w:eastAsia="楷体_GB2312"/>
          <w:b/>
          <w:sz w:val="24"/>
        </w:rPr>
        <w:t>特别约定</w:t>
      </w:r>
    </w:p>
    <w:p w14:paraId="421DD0C3">
      <w:pPr>
        <w:spacing w:line="380" w:lineRule="exact"/>
        <w:ind w:left="851"/>
        <w:rPr>
          <w:rFonts w:eastAsia="楷体_GB2312"/>
          <w:b/>
          <w:sz w:val="24"/>
        </w:rPr>
      </w:pPr>
    </w:p>
    <w:p w14:paraId="0CDE8F93">
      <w:pPr>
        <w:autoSpaceDE w:val="0"/>
        <w:autoSpaceDN w:val="0"/>
        <w:adjustRightInd w:val="0"/>
        <w:spacing w:line="380" w:lineRule="exact"/>
        <w:ind w:left="944" w:leftChars="472"/>
        <w:rPr>
          <w:rFonts w:eastAsia="楷体_GB2312"/>
          <w:sz w:val="24"/>
        </w:rPr>
      </w:pPr>
      <w:r>
        <w:rPr>
          <w:rFonts w:eastAsia="楷体_GB2312"/>
          <w:sz w:val="24"/>
        </w:rPr>
        <w:t>在“次级资产支持证券”的本金全部兑付完毕后，如仍需召开“资产支持证券持有人大会”（本合同及其他“交易文件”约定可由“次级资产支持证券持有人”一致书面决议的情形除外）的，本合同第</w:t>
      </w:r>
      <w:r>
        <w:rPr>
          <w:rFonts w:eastAsia="楷体_GB2312"/>
          <w:sz w:val="24"/>
        </w:rPr>
        <w:fldChar w:fldCharType="begin"/>
      </w:r>
      <w:r>
        <w:rPr>
          <w:rFonts w:eastAsia="楷体_GB2312"/>
          <w:sz w:val="24"/>
        </w:rPr>
        <w:instrText xml:space="preserve"> REF _Ref122639974 \r \h  \* MERGEFORMAT </w:instrText>
      </w:r>
      <w:r>
        <w:rPr>
          <w:rFonts w:eastAsia="楷体_GB2312"/>
          <w:sz w:val="24"/>
        </w:rPr>
        <w:fldChar w:fldCharType="separate"/>
      </w:r>
      <w:r>
        <w:rPr>
          <w:rFonts w:eastAsia="楷体_GB2312"/>
          <w:sz w:val="24"/>
        </w:rPr>
        <w:t>18.2</w:t>
      </w:r>
      <w:r>
        <w:rPr>
          <w:rFonts w:eastAsia="楷体_GB2312"/>
          <w:sz w:val="24"/>
        </w:rPr>
        <w:fldChar w:fldCharType="end"/>
      </w:r>
      <w:r>
        <w:rPr>
          <w:rFonts w:eastAsia="楷体_GB2312"/>
          <w:sz w:val="24"/>
        </w:rPr>
        <w:t>款至第</w:t>
      </w:r>
      <w:r>
        <w:rPr>
          <w:rFonts w:eastAsia="楷体_GB2312"/>
          <w:sz w:val="24"/>
        </w:rPr>
        <w:fldChar w:fldCharType="begin"/>
      </w:r>
      <w:r>
        <w:rPr>
          <w:rFonts w:eastAsia="楷体_GB2312"/>
          <w:sz w:val="24"/>
        </w:rPr>
        <w:instrText xml:space="preserve"> REF _Ref122639983 \r \h  \* MERGEFORMAT </w:instrText>
      </w:r>
      <w:r>
        <w:rPr>
          <w:rFonts w:eastAsia="楷体_GB2312"/>
          <w:sz w:val="24"/>
        </w:rPr>
        <w:fldChar w:fldCharType="separate"/>
      </w:r>
      <w:r>
        <w:rPr>
          <w:rFonts w:eastAsia="楷体_GB2312"/>
          <w:sz w:val="24"/>
        </w:rPr>
        <w:t>18.9</w:t>
      </w:r>
      <w:r>
        <w:rPr>
          <w:rFonts w:eastAsia="楷体_GB2312"/>
          <w:sz w:val="24"/>
        </w:rPr>
        <w:fldChar w:fldCharType="end"/>
      </w:r>
      <w:r>
        <w:rPr>
          <w:rFonts w:eastAsia="楷体_GB2312"/>
          <w:sz w:val="24"/>
        </w:rPr>
        <w:t>款中关于“资产支持证券持有人大会”召集、通知、出席、表决的比例均以届时“登记托管机构”记载的各“次级资产支持证券持有人”持有的“次级资产支持证券”的份额为基准进行计算，不再以“资产支持证券”的“未偿本金余额”为基准进行计算。</w:t>
      </w:r>
    </w:p>
    <w:p w14:paraId="5136BFDC">
      <w:pPr>
        <w:spacing w:line="380" w:lineRule="exact"/>
        <w:ind w:left="851"/>
        <w:rPr>
          <w:rFonts w:eastAsia="楷体_GB2312"/>
          <w:b/>
          <w:sz w:val="24"/>
        </w:rPr>
      </w:pPr>
    </w:p>
    <w:p w14:paraId="3C6B435F">
      <w:pPr>
        <w:numPr>
          <w:ilvl w:val="1"/>
          <w:numId w:val="4"/>
        </w:numPr>
        <w:spacing w:line="380" w:lineRule="exact"/>
        <w:outlineLvl w:val="1"/>
        <w:rPr>
          <w:rFonts w:eastAsia="楷体_GB2312"/>
          <w:b/>
          <w:sz w:val="24"/>
        </w:rPr>
      </w:pPr>
      <w:bookmarkStart w:id="607" w:name="_Toc172736611"/>
      <w:r>
        <w:rPr>
          <w:rFonts w:eastAsia="楷体_GB2312"/>
          <w:b/>
          <w:sz w:val="24"/>
        </w:rPr>
        <w:t>会议记录</w:t>
      </w:r>
      <w:bookmarkEnd w:id="607"/>
    </w:p>
    <w:p w14:paraId="7A04754A">
      <w:pPr>
        <w:spacing w:line="380" w:lineRule="exact"/>
        <w:ind w:left="425"/>
        <w:rPr>
          <w:rFonts w:eastAsia="楷体_GB2312"/>
          <w:b/>
          <w:sz w:val="24"/>
        </w:rPr>
      </w:pPr>
    </w:p>
    <w:p w14:paraId="181499A9">
      <w:pPr>
        <w:autoSpaceDE w:val="0"/>
        <w:autoSpaceDN w:val="0"/>
        <w:adjustRightInd w:val="0"/>
        <w:spacing w:line="380" w:lineRule="exact"/>
        <w:ind w:left="944" w:leftChars="472"/>
        <w:rPr>
          <w:rFonts w:eastAsia="楷体_GB2312"/>
          <w:b/>
          <w:sz w:val="24"/>
        </w:rPr>
      </w:pPr>
      <w:r>
        <w:rPr>
          <w:rFonts w:eastAsia="楷体_GB2312"/>
          <w:sz w:val="24"/>
        </w:rPr>
        <w:t>“资产支持证券持有人大会”应当将决议作成会议记录，召集人、“受托人”应当在会议记录上签字并盖章。会议记录、出席“资产支持证券持有人”的签名册及代理出席的授权委托书应由“受托人”一并保存。</w:t>
      </w:r>
    </w:p>
    <w:p w14:paraId="6957B2F2">
      <w:pPr>
        <w:spacing w:line="380" w:lineRule="exact"/>
        <w:ind w:left="851"/>
        <w:rPr>
          <w:rFonts w:eastAsia="楷体_GB2312"/>
          <w:b/>
          <w:sz w:val="24"/>
        </w:rPr>
      </w:pPr>
    </w:p>
    <w:p w14:paraId="6478E3D9">
      <w:pPr>
        <w:numPr>
          <w:ilvl w:val="1"/>
          <w:numId w:val="4"/>
        </w:numPr>
        <w:spacing w:line="380" w:lineRule="exact"/>
        <w:outlineLvl w:val="1"/>
        <w:rPr>
          <w:rFonts w:eastAsia="楷体_GB2312"/>
          <w:b/>
          <w:sz w:val="24"/>
        </w:rPr>
      </w:pPr>
      <w:bookmarkStart w:id="608" w:name="_Toc172736612"/>
      <w:r>
        <w:rPr>
          <w:rFonts w:eastAsia="楷体_GB2312"/>
          <w:b/>
          <w:sz w:val="24"/>
        </w:rPr>
        <w:t>决议的备案与公告</w:t>
      </w:r>
      <w:bookmarkEnd w:id="602"/>
      <w:bookmarkEnd w:id="603"/>
      <w:bookmarkEnd w:id="604"/>
      <w:bookmarkEnd w:id="608"/>
    </w:p>
    <w:p w14:paraId="0CC9F84B">
      <w:pPr>
        <w:autoSpaceDE w:val="0"/>
        <w:autoSpaceDN w:val="0"/>
        <w:adjustRightInd w:val="0"/>
        <w:spacing w:line="380" w:lineRule="exact"/>
        <w:jc w:val="left"/>
        <w:rPr>
          <w:rFonts w:eastAsia="楷体_GB2312"/>
          <w:sz w:val="24"/>
        </w:rPr>
      </w:pPr>
    </w:p>
    <w:p w14:paraId="3B46FD69">
      <w:pPr>
        <w:autoSpaceDE w:val="0"/>
        <w:autoSpaceDN w:val="0"/>
        <w:adjustRightInd w:val="0"/>
        <w:spacing w:line="380" w:lineRule="exact"/>
        <w:ind w:left="944" w:leftChars="472"/>
        <w:rPr>
          <w:rFonts w:eastAsia="楷体_GB2312"/>
          <w:sz w:val="24"/>
        </w:rPr>
      </w:pPr>
      <w:r>
        <w:rPr>
          <w:rFonts w:eastAsia="楷体_GB2312"/>
          <w:sz w:val="24"/>
        </w:rPr>
        <w:t>对于“资产支持证券持有人大会”形成的决议，“受托人”应在“资产支持证券持有人大会”结束后【】个“工作日”内报“人民银行”备案，并</w:t>
      </w:r>
      <w:r>
        <w:rPr>
          <w:rFonts w:hint="eastAsia" w:eastAsia="楷体_GB2312"/>
          <w:color w:val="000000"/>
          <w:sz w:val="24"/>
        </w:rPr>
        <w:t>通过</w:t>
      </w:r>
      <w:r>
        <w:rPr>
          <w:rFonts w:eastAsia="楷体_GB2312"/>
          <w:color w:val="000000"/>
          <w:sz w:val="24"/>
        </w:rPr>
        <w:t>“交易商协会”综合业务和信息服务平台、中国货币网、中国债券信息网、“北金所”官方网站及“交易商协会”认可的其他方式</w:t>
      </w:r>
      <w:r>
        <w:rPr>
          <w:rFonts w:eastAsia="楷体_GB2312"/>
          <w:sz w:val="24"/>
        </w:rPr>
        <w:t>予以公告。</w:t>
      </w:r>
    </w:p>
    <w:bookmarkEnd w:id="579"/>
    <w:p w14:paraId="2D746669">
      <w:pPr>
        <w:spacing w:before="156" w:beforeLines="50" w:after="156" w:afterLines="50" w:line="240" w:lineRule="atLeast"/>
        <w:ind w:left="992"/>
        <w:rPr>
          <w:rFonts w:eastAsia="楷体_GB2312"/>
          <w:b/>
          <w:i/>
          <w:color w:val="FF0000"/>
          <w:sz w:val="24"/>
          <w:szCs w:val="24"/>
        </w:rPr>
      </w:pPr>
      <w:bookmarkStart w:id="609" w:name="_Toc120276586"/>
      <w:bookmarkEnd w:id="609"/>
      <w:bookmarkStart w:id="610" w:name="_Toc120277355"/>
      <w:bookmarkEnd w:id="610"/>
      <w:bookmarkStart w:id="611" w:name="_Toc120275182"/>
      <w:bookmarkEnd w:id="611"/>
      <w:bookmarkStart w:id="612" w:name="_Toc120277354"/>
      <w:bookmarkEnd w:id="612"/>
      <w:bookmarkStart w:id="613" w:name="_Toc120276585"/>
      <w:bookmarkEnd w:id="613"/>
      <w:bookmarkStart w:id="614" w:name="_Toc120277266"/>
      <w:bookmarkEnd w:id="614"/>
      <w:bookmarkStart w:id="615" w:name="_Toc120149140"/>
      <w:bookmarkEnd w:id="615"/>
      <w:bookmarkStart w:id="616" w:name="_Toc120277265"/>
      <w:bookmarkEnd w:id="616"/>
      <w:bookmarkStart w:id="617" w:name="_Toc120277521"/>
      <w:bookmarkEnd w:id="617"/>
      <w:bookmarkStart w:id="618" w:name="_Toc120277520"/>
      <w:bookmarkEnd w:id="618"/>
      <w:bookmarkStart w:id="619" w:name="_Toc120275183"/>
      <w:bookmarkEnd w:id="619"/>
      <w:r>
        <w:rPr>
          <w:rFonts w:eastAsia="楷体_GB2312"/>
          <w:b/>
          <w:i/>
          <w:color w:val="FF0000"/>
          <w:sz w:val="24"/>
          <w:szCs w:val="24"/>
        </w:rPr>
        <w:t>【注：资产支持证券持有人大会形成的决议的备案和信息披露方式应以届时适用的最新法规和信息披露规则的规定为准。】</w:t>
      </w:r>
    </w:p>
    <w:p w14:paraId="658985A3">
      <w:pPr>
        <w:spacing w:line="380" w:lineRule="atLeast"/>
        <w:rPr>
          <w:rFonts w:eastAsia="楷体_GB2312"/>
          <w:b/>
          <w:color w:val="000000"/>
          <w:sz w:val="24"/>
        </w:rPr>
      </w:pPr>
    </w:p>
    <w:p w14:paraId="67D8A098">
      <w:pPr>
        <w:numPr>
          <w:ilvl w:val="0"/>
          <w:numId w:val="4"/>
        </w:numPr>
        <w:spacing w:line="380" w:lineRule="atLeast"/>
        <w:outlineLvl w:val="0"/>
        <w:rPr>
          <w:rFonts w:eastAsia="楷体_GB2312"/>
          <w:b/>
          <w:color w:val="000000"/>
          <w:sz w:val="24"/>
        </w:rPr>
      </w:pPr>
      <w:bookmarkStart w:id="620" w:name="_Toc110153465"/>
      <w:bookmarkStart w:id="621" w:name="_Toc373951560"/>
      <w:bookmarkStart w:id="622" w:name="_Toc51277229"/>
      <w:bookmarkStart w:id="623" w:name="_Toc31301"/>
      <w:bookmarkStart w:id="624" w:name="_Toc111281839"/>
      <w:r>
        <w:rPr>
          <w:rFonts w:eastAsia="楷体_GB2312"/>
          <w:b/>
          <w:sz w:val="24"/>
        </w:rPr>
        <w:t>审计</w:t>
      </w:r>
      <w:bookmarkStart w:id="625" w:name="_Toc92612946"/>
      <w:r>
        <w:rPr>
          <w:rFonts w:eastAsia="楷体_GB2312"/>
          <w:b/>
          <w:sz w:val="24"/>
        </w:rPr>
        <w:t>监督</w:t>
      </w:r>
      <w:bookmarkEnd w:id="620"/>
      <w:r>
        <w:rPr>
          <w:rFonts w:eastAsia="楷体_GB2312"/>
          <w:b/>
          <w:sz w:val="24"/>
        </w:rPr>
        <w:t>和跟踪评级</w:t>
      </w:r>
      <w:bookmarkEnd w:id="621"/>
      <w:bookmarkEnd w:id="622"/>
      <w:bookmarkEnd w:id="623"/>
      <w:bookmarkEnd w:id="624"/>
    </w:p>
    <w:p w14:paraId="7C95D403">
      <w:pPr>
        <w:spacing w:line="380" w:lineRule="atLeast"/>
        <w:rPr>
          <w:rFonts w:eastAsia="楷体_GB2312"/>
          <w:b/>
          <w:color w:val="000000"/>
          <w:sz w:val="24"/>
        </w:rPr>
      </w:pPr>
    </w:p>
    <w:bookmarkEnd w:id="625"/>
    <w:p w14:paraId="1AF36D67">
      <w:pPr>
        <w:numPr>
          <w:ilvl w:val="1"/>
          <w:numId w:val="4"/>
        </w:numPr>
        <w:spacing w:line="380" w:lineRule="atLeast"/>
        <w:rPr>
          <w:rFonts w:eastAsia="楷体_GB2312"/>
          <w:color w:val="000000"/>
          <w:sz w:val="24"/>
        </w:rPr>
      </w:pPr>
      <w:r>
        <w:rPr>
          <w:rFonts w:eastAsia="楷体_GB2312"/>
          <w:sz w:val="24"/>
        </w:rPr>
        <w:t>“受托</w:t>
      </w:r>
      <w:r>
        <w:rPr>
          <w:rFonts w:eastAsia="楷体_GB2312"/>
          <w:color w:val="000000"/>
          <w:sz w:val="24"/>
        </w:rPr>
        <w:t>人</w:t>
      </w:r>
      <w:r>
        <w:rPr>
          <w:rFonts w:eastAsia="楷体_GB2312"/>
          <w:sz w:val="24"/>
        </w:rPr>
        <w:t>”</w:t>
      </w:r>
      <w:r>
        <w:rPr>
          <w:rFonts w:eastAsia="楷体_GB2312"/>
          <w:color w:val="000000"/>
          <w:sz w:val="24"/>
        </w:rPr>
        <w:t>应制作管理</w:t>
      </w:r>
      <w:r>
        <w:rPr>
          <w:rFonts w:eastAsia="楷体_GB2312"/>
          <w:sz w:val="24"/>
        </w:rPr>
        <w:t>“</w:t>
      </w:r>
      <w:r>
        <w:rPr>
          <w:rFonts w:eastAsia="楷体_GB2312"/>
          <w:color w:val="000000"/>
          <w:sz w:val="24"/>
        </w:rPr>
        <w:t>信托</w:t>
      </w:r>
      <w:r>
        <w:rPr>
          <w:rFonts w:eastAsia="楷体_GB2312"/>
          <w:sz w:val="24"/>
        </w:rPr>
        <w:t>”</w:t>
      </w:r>
      <w:r>
        <w:rPr>
          <w:rFonts w:eastAsia="楷体_GB2312"/>
          <w:color w:val="000000"/>
          <w:sz w:val="24"/>
        </w:rPr>
        <w:t>项下事务的年度报告，该年度报告应经“审计师”审计，并由</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披露审计报告。为出具该年度审计报告，“审计师”有权查阅、审计</w:t>
      </w:r>
      <w:r>
        <w:rPr>
          <w:rFonts w:eastAsia="楷体_GB2312"/>
          <w:sz w:val="24"/>
        </w:rPr>
        <w:t>“</w:t>
      </w:r>
      <w:r>
        <w:rPr>
          <w:rFonts w:eastAsia="楷体_GB2312"/>
          <w:color w:val="000000"/>
          <w:sz w:val="24"/>
        </w:rPr>
        <w:t>贷款服务机构</w:t>
      </w:r>
      <w:r>
        <w:rPr>
          <w:rFonts w:eastAsia="楷体_GB2312"/>
          <w:sz w:val="24"/>
        </w:rPr>
        <w:t>”</w:t>
      </w:r>
      <w:r>
        <w:rPr>
          <w:rFonts w:eastAsia="楷体_GB2312"/>
          <w:color w:val="000000"/>
          <w:sz w:val="24"/>
        </w:rPr>
        <w:t>、</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的相关账目、文件等与该信托相关的资料；</w:t>
      </w:r>
      <w:r>
        <w:rPr>
          <w:rFonts w:eastAsia="楷体_GB2312"/>
          <w:sz w:val="24"/>
        </w:rPr>
        <w:t>“</w:t>
      </w:r>
      <w:r>
        <w:rPr>
          <w:rFonts w:eastAsia="楷体_GB2312"/>
          <w:color w:val="000000"/>
          <w:sz w:val="24"/>
        </w:rPr>
        <w:t>贷款服务机构</w:t>
      </w:r>
      <w:r>
        <w:rPr>
          <w:rFonts w:eastAsia="楷体_GB2312"/>
          <w:sz w:val="24"/>
        </w:rPr>
        <w:t>”</w:t>
      </w:r>
      <w:r>
        <w:rPr>
          <w:rFonts w:eastAsia="楷体_GB2312"/>
          <w:color w:val="000000"/>
          <w:sz w:val="24"/>
        </w:rPr>
        <w:t>、</w:t>
      </w:r>
      <w:r>
        <w:rPr>
          <w:rFonts w:eastAsia="楷体_GB2312"/>
          <w:sz w:val="24"/>
        </w:rPr>
        <w:t>“</w:t>
      </w:r>
      <w:r>
        <w:rPr>
          <w:rFonts w:eastAsia="楷体_GB2312"/>
          <w:color w:val="000000"/>
          <w:sz w:val="24"/>
        </w:rPr>
        <w:t>资金保管机构</w:t>
      </w:r>
      <w:r>
        <w:rPr>
          <w:rFonts w:eastAsia="楷体_GB2312"/>
          <w:sz w:val="24"/>
        </w:rPr>
        <w:t>”</w:t>
      </w:r>
      <w:r>
        <w:rPr>
          <w:rFonts w:eastAsia="楷体_GB2312"/>
          <w:color w:val="000000"/>
          <w:sz w:val="24"/>
        </w:rPr>
        <w:t>应</w:t>
      </w:r>
      <w:r>
        <w:rPr>
          <w:rFonts w:hint="eastAsia" w:eastAsia="楷体_GB2312"/>
          <w:color w:val="000000"/>
          <w:sz w:val="24"/>
        </w:rPr>
        <w:t>给予</w:t>
      </w:r>
      <w:r>
        <w:rPr>
          <w:rFonts w:eastAsia="楷体_GB2312"/>
          <w:color w:val="000000"/>
          <w:sz w:val="24"/>
        </w:rPr>
        <w:t>配合。</w:t>
      </w:r>
    </w:p>
    <w:p w14:paraId="07B8DB11">
      <w:pPr>
        <w:spacing w:line="380" w:lineRule="atLeast"/>
        <w:rPr>
          <w:rFonts w:eastAsia="楷体_GB2312"/>
          <w:b/>
          <w:color w:val="000000"/>
          <w:sz w:val="24"/>
        </w:rPr>
      </w:pPr>
    </w:p>
    <w:p w14:paraId="59B8DC10">
      <w:pPr>
        <w:numPr>
          <w:ilvl w:val="1"/>
          <w:numId w:val="4"/>
        </w:numPr>
        <w:spacing w:line="380" w:lineRule="atLeast"/>
        <w:rPr>
          <w:rFonts w:eastAsia="楷体_GB2312"/>
          <w:color w:val="000000"/>
          <w:sz w:val="24"/>
        </w:rPr>
      </w:pP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应委托信用评级公司在</w:t>
      </w:r>
      <w:r>
        <w:rPr>
          <w:rFonts w:eastAsia="楷体_GB2312"/>
          <w:bCs/>
          <w:sz w:val="24"/>
        </w:rPr>
        <w:t>“</w:t>
      </w:r>
      <w:r>
        <w:rPr>
          <w:rFonts w:eastAsia="楷体_GB2312"/>
          <w:color w:val="000000"/>
          <w:sz w:val="24"/>
        </w:rPr>
        <w:t>资产支持证券</w:t>
      </w:r>
      <w:r>
        <w:rPr>
          <w:rFonts w:eastAsia="楷体_GB2312"/>
          <w:bCs/>
          <w:sz w:val="24"/>
        </w:rPr>
        <w:t>”</w:t>
      </w:r>
      <w:r>
        <w:rPr>
          <w:rFonts w:eastAsia="楷体_GB2312"/>
          <w:color w:val="000000"/>
          <w:sz w:val="24"/>
        </w:rPr>
        <w:t>期限内对</w:t>
      </w:r>
      <w:r>
        <w:rPr>
          <w:rFonts w:eastAsia="楷体_GB2312"/>
          <w:sz w:val="24"/>
        </w:rPr>
        <w:t>“</w:t>
      </w:r>
      <w:r>
        <w:rPr>
          <w:rFonts w:eastAsia="楷体_GB2312"/>
          <w:color w:val="000000"/>
          <w:sz w:val="24"/>
        </w:rPr>
        <w:t>信托</w:t>
      </w:r>
      <w:r>
        <w:rPr>
          <w:rFonts w:eastAsia="楷体_GB2312"/>
          <w:sz w:val="24"/>
        </w:rPr>
        <w:t>”</w:t>
      </w:r>
      <w:r>
        <w:rPr>
          <w:rFonts w:eastAsia="楷体_GB2312"/>
          <w:color w:val="000000"/>
          <w:sz w:val="24"/>
        </w:rPr>
        <w:t>项下</w:t>
      </w:r>
      <w:r>
        <w:rPr>
          <w:rFonts w:eastAsia="楷体_GB2312"/>
          <w:sz w:val="24"/>
        </w:rPr>
        <w:t>“优先级</w:t>
      </w:r>
      <w:r>
        <w:rPr>
          <w:rFonts w:eastAsia="楷体_GB2312"/>
          <w:color w:val="000000"/>
          <w:sz w:val="24"/>
        </w:rPr>
        <w:t>资产支持证券</w:t>
      </w:r>
      <w:r>
        <w:rPr>
          <w:rFonts w:eastAsia="楷体_GB2312"/>
          <w:sz w:val="24"/>
        </w:rPr>
        <w:t>”</w:t>
      </w:r>
      <w:r>
        <w:rPr>
          <w:rFonts w:eastAsia="楷体_GB2312"/>
          <w:color w:val="000000"/>
          <w:sz w:val="24"/>
        </w:rPr>
        <w:t>进行持续跟踪评级，并每年出具跟踪评级报告。</w:t>
      </w:r>
    </w:p>
    <w:p w14:paraId="23DF3731">
      <w:pPr>
        <w:spacing w:line="380" w:lineRule="atLeast"/>
        <w:rPr>
          <w:rFonts w:eastAsia="楷体_GB2312"/>
          <w:b/>
          <w:color w:val="000000"/>
          <w:sz w:val="24"/>
        </w:rPr>
      </w:pPr>
    </w:p>
    <w:p w14:paraId="4555236C">
      <w:pPr>
        <w:numPr>
          <w:ilvl w:val="0"/>
          <w:numId w:val="4"/>
        </w:numPr>
        <w:spacing w:line="380" w:lineRule="atLeast"/>
        <w:outlineLvl w:val="0"/>
        <w:rPr>
          <w:rFonts w:eastAsia="楷体_GB2312"/>
          <w:b/>
          <w:color w:val="000000"/>
          <w:sz w:val="24"/>
        </w:rPr>
      </w:pPr>
      <w:bookmarkStart w:id="626" w:name="_Toc51277230"/>
      <w:bookmarkStart w:id="627" w:name="_Toc373951561"/>
      <w:bookmarkStart w:id="628" w:name="_Toc8898"/>
      <w:bookmarkStart w:id="629" w:name="_Toc111281840"/>
      <w:bookmarkStart w:id="630" w:name="_Toc110153466"/>
      <w:r>
        <w:rPr>
          <w:rFonts w:eastAsia="楷体_GB2312"/>
          <w:b/>
          <w:sz w:val="24"/>
        </w:rPr>
        <w:t>风险</w:t>
      </w:r>
      <w:bookmarkStart w:id="631" w:name="_Toc92612947"/>
      <w:r>
        <w:rPr>
          <w:rFonts w:eastAsia="楷体_GB2312"/>
          <w:b/>
          <w:sz w:val="24"/>
        </w:rPr>
        <w:t>承担</w:t>
      </w:r>
      <w:bookmarkEnd w:id="626"/>
      <w:bookmarkEnd w:id="627"/>
      <w:bookmarkEnd w:id="628"/>
      <w:bookmarkEnd w:id="629"/>
      <w:bookmarkEnd w:id="630"/>
    </w:p>
    <w:p w14:paraId="6E3CD128">
      <w:pPr>
        <w:spacing w:line="380" w:lineRule="atLeast"/>
        <w:rPr>
          <w:rFonts w:eastAsia="楷体_GB2312"/>
          <w:b/>
          <w:color w:val="000000"/>
          <w:sz w:val="24"/>
        </w:rPr>
      </w:pPr>
    </w:p>
    <w:bookmarkEnd w:id="631"/>
    <w:p w14:paraId="2E30CD17">
      <w:pPr>
        <w:numPr>
          <w:ilvl w:val="1"/>
          <w:numId w:val="4"/>
        </w:numPr>
        <w:spacing w:line="380" w:lineRule="atLeast"/>
        <w:outlineLvl w:val="1"/>
        <w:rPr>
          <w:rFonts w:eastAsia="楷体_GB2312"/>
          <w:b/>
          <w:color w:val="000000"/>
          <w:sz w:val="24"/>
        </w:rPr>
      </w:pPr>
      <w:bookmarkStart w:id="632" w:name="_Toc111281841"/>
      <w:bookmarkStart w:id="633" w:name="_Toc110153467"/>
      <w:r>
        <w:rPr>
          <w:rFonts w:eastAsia="楷体_GB2312"/>
          <w:b/>
          <w:sz w:val="24"/>
        </w:rPr>
        <w:t>风险</w:t>
      </w:r>
      <w:bookmarkStart w:id="634" w:name="_Toc92612948"/>
      <w:r>
        <w:rPr>
          <w:rFonts w:eastAsia="楷体_GB2312"/>
          <w:b/>
          <w:sz w:val="24"/>
        </w:rPr>
        <w:t>承担</w:t>
      </w:r>
      <w:bookmarkEnd w:id="632"/>
      <w:bookmarkEnd w:id="633"/>
      <w:r>
        <w:rPr>
          <w:rFonts w:eastAsia="楷体_GB2312"/>
          <w:b/>
          <w:sz w:val="24"/>
        </w:rPr>
        <w:t>的基本原则</w:t>
      </w:r>
    </w:p>
    <w:p w14:paraId="2138B204">
      <w:pPr>
        <w:spacing w:line="380" w:lineRule="atLeast"/>
        <w:rPr>
          <w:rFonts w:eastAsia="楷体_GB2312"/>
          <w:b/>
          <w:color w:val="000000"/>
          <w:sz w:val="24"/>
        </w:rPr>
      </w:pPr>
    </w:p>
    <w:bookmarkEnd w:id="634"/>
    <w:p w14:paraId="171201F2">
      <w:pPr>
        <w:spacing w:line="380" w:lineRule="atLeast"/>
        <w:ind w:left="944" w:leftChars="472"/>
        <w:rPr>
          <w:rFonts w:eastAsia="楷体_GB2312"/>
          <w:b/>
          <w:color w:val="000000"/>
          <w:sz w:val="24"/>
        </w:rPr>
      </w:pPr>
      <w:r>
        <w:rPr>
          <w:rFonts w:eastAsia="楷体_GB2312"/>
          <w:bCs/>
          <w:sz w:val="24"/>
        </w:rPr>
        <w:t>在</w:t>
      </w:r>
      <w:r>
        <w:rPr>
          <w:rFonts w:eastAsia="楷体_GB2312"/>
          <w:sz w:val="24"/>
        </w:rPr>
        <w:t>“</w:t>
      </w:r>
      <w:r>
        <w:rPr>
          <w:rFonts w:eastAsia="楷体_GB2312"/>
          <w:bCs/>
          <w:sz w:val="24"/>
        </w:rPr>
        <w:t>受托人</w:t>
      </w:r>
      <w:r>
        <w:rPr>
          <w:rFonts w:eastAsia="楷体_GB2312"/>
          <w:sz w:val="24"/>
        </w:rPr>
        <w:t>”</w:t>
      </w:r>
      <w:r>
        <w:rPr>
          <w:rFonts w:eastAsia="楷体_GB2312"/>
          <w:bCs/>
          <w:sz w:val="24"/>
        </w:rPr>
        <w:t>履行了“中国法律”规定和本合同约定的职责和义务的情况下，因管理信托事务中所产生的后果和风险，由</w:t>
      </w:r>
      <w:r>
        <w:rPr>
          <w:rFonts w:eastAsia="楷体_GB2312"/>
          <w:sz w:val="24"/>
        </w:rPr>
        <w:t>“</w:t>
      </w:r>
      <w:r>
        <w:rPr>
          <w:rFonts w:eastAsia="楷体_GB2312"/>
          <w:bCs/>
          <w:sz w:val="24"/>
        </w:rPr>
        <w:t>信托财产</w:t>
      </w:r>
      <w:r>
        <w:rPr>
          <w:rFonts w:eastAsia="楷体_GB2312"/>
          <w:sz w:val="24"/>
        </w:rPr>
        <w:t>”</w:t>
      </w:r>
      <w:r>
        <w:rPr>
          <w:rFonts w:eastAsia="楷体_GB2312"/>
          <w:bCs/>
          <w:sz w:val="24"/>
        </w:rPr>
        <w:t>承担。</w:t>
      </w:r>
    </w:p>
    <w:p w14:paraId="28E16720">
      <w:pPr>
        <w:spacing w:line="380" w:lineRule="atLeast"/>
        <w:rPr>
          <w:rFonts w:eastAsia="楷体_GB2312"/>
          <w:b/>
          <w:color w:val="000000"/>
          <w:sz w:val="24"/>
        </w:rPr>
      </w:pPr>
    </w:p>
    <w:p w14:paraId="6A3DF1AB">
      <w:pPr>
        <w:numPr>
          <w:ilvl w:val="1"/>
          <w:numId w:val="4"/>
        </w:numPr>
        <w:spacing w:line="380" w:lineRule="atLeast"/>
        <w:outlineLvl w:val="1"/>
        <w:rPr>
          <w:rFonts w:eastAsia="楷体_GB2312"/>
          <w:b/>
          <w:color w:val="000000"/>
          <w:sz w:val="24"/>
        </w:rPr>
      </w:pPr>
      <w:bookmarkStart w:id="635" w:name="_Toc110153468"/>
      <w:bookmarkStart w:id="636" w:name="_Toc111281842"/>
      <w:r>
        <w:rPr>
          <w:rFonts w:eastAsia="楷体_GB2312"/>
          <w:b/>
          <w:sz w:val="24"/>
        </w:rPr>
        <w:t>受托</w:t>
      </w:r>
      <w:bookmarkStart w:id="637" w:name="_Toc92612949"/>
      <w:r>
        <w:rPr>
          <w:rFonts w:eastAsia="楷体_GB2312"/>
          <w:b/>
          <w:sz w:val="24"/>
        </w:rPr>
        <w:t>人的赔偿责任</w:t>
      </w:r>
      <w:bookmarkEnd w:id="635"/>
      <w:bookmarkEnd w:id="636"/>
    </w:p>
    <w:p w14:paraId="656D0C0E">
      <w:pPr>
        <w:spacing w:line="380" w:lineRule="atLeast"/>
        <w:rPr>
          <w:rFonts w:eastAsia="楷体_GB2312"/>
          <w:b/>
          <w:color w:val="000000"/>
          <w:sz w:val="24"/>
        </w:rPr>
      </w:pPr>
    </w:p>
    <w:bookmarkEnd w:id="637"/>
    <w:p w14:paraId="2374543F">
      <w:pPr>
        <w:numPr>
          <w:ilvl w:val="2"/>
          <w:numId w:val="4"/>
        </w:numPr>
        <w:tabs>
          <w:tab w:val="left" w:pos="900"/>
        </w:tabs>
        <w:spacing w:line="380" w:lineRule="atLeast"/>
        <w:ind w:left="1620" w:hanging="769"/>
        <w:rPr>
          <w:rFonts w:eastAsia="楷体_GB2312"/>
          <w:color w:val="000000"/>
          <w:sz w:val="24"/>
        </w:rPr>
      </w:pPr>
      <w:r>
        <w:rPr>
          <w:rFonts w:eastAsia="楷体_GB2312"/>
          <w:sz w:val="24"/>
        </w:rPr>
        <w:t>“受托人”违反“信托”目的管理、处分“信托财产”或者管理、处分“信托财产”有过错致使“信托财产”遭受损失的，应当对“信托财产”予以赔偿。</w:t>
      </w:r>
    </w:p>
    <w:p w14:paraId="40D0C296">
      <w:pPr>
        <w:tabs>
          <w:tab w:val="left" w:pos="1571"/>
        </w:tabs>
        <w:spacing w:line="380" w:lineRule="atLeast"/>
        <w:rPr>
          <w:rFonts w:eastAsia="楷体_GB2312"/>
          <w:color w:val="000000"/>
          <w:sz w:val="24"/>
        </w:rPr>
      </w:pPr>
    </w:p>
    <w:p w14:paraId="23C5DC32">
      <w:pPr>
        <w:numPr>
          <w:ilvl w:val="2"/>
          <w:numId w:val="4"/>
        </w:numPr>
        <w:tabs>
          <w:tab w:val="left" w:pos="900"/>
        </w:tabs>
        <w:spacing w:line="380" w:lineRule="atLeast"/>
        <w:ind w:left="1620" w:hanging="769"/>
        <w:rPr>
          <w:rFonts w:eastAsia="楷体_GB2312"/>
          <w:color w:val="000000"/>
          <w:sz w:val="24"/>
        </w:rPr>
      </w:pPr>
      <w:r>
        <w:rPr>
          <w:rFonts w:eastAsia="楷体_GB2312"/>
          <w:sz w:val="24"/>
        </w:rPr>
        <w:t>“受托人”采取本合同约定之外的方式对“信托财产”的运用、处分所产生“信托财产收益”，属于“信托财产”的一部分；由此给“信托财产”造成损失的，“受托人”应以其固有财产承担赔偿责任。</w:t>
      </w:r>
    </w:p>
    <w:p w14:paraId="789D2C9F">
      <w:pPr>
        <w:spacing w:line="380" w:lineRule="atLeast"/>
        <w:rPr>
          <w:rFonts w:eastAsia="楷体_GB2312"/>
          <w:color w:val="000000"/>
          <w:sz w:val="24"/>
        </w:rPr>
      </w:pPr>
    </w:p>
    <w:p w14:paraId="40C5D463">
      <w:pPr>
        <w:numPr>
          <w:ilvl w:val="1"/>
          <w:numId w:val="4"/>
        </w:numPr>
        <w:spacing w:line="380" w:lineRule="atLeast"/>
        <w:outlineLvl w:val="1"/>
        <w:rPr>
          <w:rFonts w:eastAsia="楷体_GB2312"/>
          <w:b/>
          <w:color w:val="000000"/>
          <w:sz w:val="24"/>
        </w:rPr>
      </w:pPr>
      <w:bookmarkStart w:id="638" w:name="_Toc112069008"/>
      <w:bookmarkEnd w:id="638"/>
      <w:bookmarkStart w:id="639" w:name="_Toc112069007"/>
      <w:bookmarkEnd w:id="639"/>
      <w:bookmarkStart w:id="640" w:name="_Toc111281843"/>
      <w:r>
        <w:rPr>
          <w:rFonts w:eastAsia="楷体_GB2312"/>
          <w:b/>
          <w:color w:val="000000"/>
          <w:sz w:val="24"/>
        </w:rPr>
        <w:t>受托人的免责</w:t>
      </w:r>
      <w:bookmarkEnd w:id="640"/>
    </w:p>
    <w:p w14:paraId="0071A0ED">
      <w:pPr>
        <w:spacing w:line="380" w:lineRule="atLeast"/>
        <w:rPr>
          <w:rFonts w:eastAsia="楷体_GB2312"/>
          <w:b/>
          <w:color w:val="000000"/>
          <w:sz w:val="24"/>
        </w:rPr>
      </w:pPr>
    </w:p>
    <w:p w14:paraId="2237581A">
      <w:pPr>
        <w:numPr>
          <w:ilvl w:val="2"/>
          <w:numId w:val="4"/>
        </w:numPr>
        <w:tabs>
          <w:tab w:val="left" w:pos="900"/>
        </w:tabs>
        <w:spacing w:line="380" w:lineRule="atLeast"/>
        <w:ind w:left="1620" w:hanging="769"/>
        <w:rPr>
          <w:rFonts w:eastAsia="楷体_GB2312"/>
          <w:sz w:val="24"/>
        </w:rPr>
      </w:pPr>
      <w:r>
        <w:rPr>
          <w:rFonts w:eastAsia="楷体_GB2312"/>
          <w:sz w:val="24"/>
        </w:rPr>
        <w:t>“受托人”承诺履行并仅履行“中国法律”和本合同明确约定的职责和义务，“受托人”不承担任何默示的承诺或者义务。</w:t>
      </w:r>
    </w:p>
    <w:p w14:paraId="403B932C">
      <w:pPr>
        <w:tabs>
          <w:tab w:val="left" w:pos="1800"/>
          <w:tab w:val="left" w:pos="1980"/>
        </w:tabs>
        <w:spacing w:line="380" w:lineRule="atLeast"/>
        <w:ind w:left="1080"/>
        <w:rPr>
          <w:rFonts w:eastAsia="楷体_GB2312"/>
          <w:sz w:val="24"/>
        </w:rPr>
      </w:pPr>
    </w:p>
    <w:p w14:paraId="4889C707">
      <w:pPr>
        <w:numPr>
          <w:ilvl w:val="2"/>
          <w:numId w:val="4"/>
        </w:numPr>
        <w:tabs>
          <w:tab w:val="left" w:pos="900"/>
        </w:tabs>
        <w:spacing w:line="380" w:lineRule="atLeast"/>
        <w:ind w:left="1620" w:hanging="769"/>
        <w:rPr>
          <w:rFonts w:eastAsia="楷体_GB2312"/>
          <w:sz w:val="24"/>
        </w:rPr>
      </w:pPr>
      <w:r>
        <w:rPr>
          <w:rFonts w:eastAsia="楷体_GB2312"/>
          <w:sz w:val="24"/>
        </w:rPr>
        <w:t>在“受托人”合理审慎地管理信托事务且不存在故意、欺诈或者重大过失的情形下，所发生的全部损失由“信托财产”承担，“受托人”对“信托财产”发生的损失不承担责任。</w:t>
      </w:r>
    </w:p>
    <w:p w14:paraId="68A53700">
      <w:pPr>
        <w:tabs>
          <w:tab w:val="left" w:pos="1800"/>
          <w:tab w:val="left" w:pos="1980"/>
        </w:tabs>
        <w:spacing w:line="380" w:lineRule="atLeast"/>
        <w:ind w:left="1080"/>
        <w:rPr>
          <w:rFonts w:eastAsia="楷体_GB2312"/>
          <w:sz w:val="24"/>
        </w:rPr>
      </w:pPr>
    </w:p>
    <w:p w14:paraId="253BE493">
      <w:pPr>
        <w:numPr>
          <w:ilvl w:val="2"/>
          <w:numId w:val="4"/>
        </w:numPr>
        <w:tabs>
          <w:tab w:val="left" w:pos="900"/>
        </w:tabs>
        <w:spacing w:line="380" w:lineRule="atLeast"/>
        <w:ind w:left="1620" w:hanging="769"/>
        <w:rPr>
          <w:rFonts w:eastAsia="楷体_GB2312"/>
          <w:sz w:val="24"/>
        </w:rPr>
      </w:pPr>
      <w:r>
        <w:rPr>
          <w:rFonts w:eastAsia="楷体_GB2312"/>
          <w:sz w:val="24"/>
        </w:rPr>
        <w:t>“受托人”承担以“信托财产”为限并按照本合同约定向“资产支持证券持有人”支付“信托利益”的义务，对“信托利益”不作任何保证或担保；“资产支持证券”仅代表特定目的信托的“信托受益权”的相应份额，不构成“受托人”的负债；“资产支持证券持有人”的追索权仅限于“信托财产”。</w:t>
      </w:r>
    </w:p>
    <w:p w14:paraId="05BCB29F">
      <w:pPr>
        <w:tabs>
          <w:tab w:val="left" w:pos="1800"/>
          <w:tab w:val="left" w:pos="1980"/>
        </w:tabs>
        <w:spacing w:line="380" w:lineRule="atLeast"/>
        <w:ind w:left="1080"/>
        <w:rPr>
          <w:rFonts w:eastAsia="楷体_GB2312"/>
          <w:sz w:val="24"/>
        </w:rPr>
      </w:pPr>
    </w:p>
    <w:p w14:paraId="331D41B9">
      <w:pPr>
        <w:numPr>
          <w:ilvl w:val="2"/>
          <w:numId w:val="4"/>
        </w:numPr>
        <w:tabs>
          <w:tab w:val="left" w:pos="900"/>
        </w:tabs>
        <w:spacing w:line="380" w:lineRule="atLeast"/>
        <w:ind w:left="1620" w:hanging="769"/>
        <w:rPr>
          <w:rFonts w:eastAsia="楷体_GB2312"/>
          <w:sz w:val="24"/>
        </w:rPr>
      </w:pPr>
      <w:r>
        <w:rPr>
          <w:rFonts w:eastAsia="楷体_GB2312"/>
          <w:sz w:val="24"/>
        </w:rPr>
        <w:t>“受托人”完全信赖各专业机构会以专业的谨慎与注意履行其义务，并可以依赖其提供的任何书面的证明、报告或者意见和/或者在相关文件中的陈述与保证的真实、准确与完整，除非存在完全与充分的相反证据</w:t>
      </w:r>
      <w:r>
        <w:rPr>
          <w:rFonts w:hint="eastAsia" w:eastAsia="楷体_GB2312"/>
          <w:sz w:val="24"/>
        </w:rPr>
        <w:t>，</w:t>
      </w:r>
      <w:r>
        <w:rPr>
          <w:rFonts w:eastAsia="楷体_GB2312"/>
          <w:sz w:val="24"/>
        </w:rPr>
        <w:t>或者“受托人”存在过错的情形。</w:t>
      </w:r>
    </w:p>
    <w:p w14:paraId="046F2662">
      <w:pPr>
        <w:spacing w:line="380" w:lineRule="atLeast"/>
        <w:ind w:left="1620" w:hanging="769"/>
        <w:rPr>
          <w:rFonts w:eastAsia="楷体_GB2312"/>
          <w:color w:val="000000"/>
          <w:sz w:val="24"/>
        </w:rPr>
      </w:pPr>
    </w:p>
    <w:p w14:paraId="37203EB7">
      <w:pPr>
        <w:numPr>
          <w:ilvl w:val="1"/>
          <w:numId w:val="4"/>
        </w:numPr>
        <w:spacing w:line="380" w:lineRule="atLeast"/>
        <w:outlineLvl w:val="1"/>
        <w:rPr>
          <w:rFonts w:eastAsia="楷体_GB2312"/>
          <w:b/>
          <w:color w:val="000000"/>
          <w:sz w:val="24"/>
        </w:rPr>
      </w:pPr>
      <w:bookmarkStart w:id="641" w:name="_Toc111281844"/>
      <w:r>
        <w:rPr>
          <w:rFonts w:eastAsia="楷体_GB2312"/>
          <w:b/>
          <w:color w:val="000000"/>
          <w:sz w:val="24"/>
        </w:rPr>
        <w:t>委托人的免责</w:t>
      </w:r>
      <w:bookmarkEnd w:id="641"/>
    </w:p>
    <w:p w14:paraId="6B12C666">
      <w:pPr>
        <w:spacing w:line="380" w:lineRule="atLeast"/>
        <w:ind w:left="1620" w:hanging="769"/>
        <w:rPr>
          <w:rFonts w:eastAsia="楷体_GB2312"/>
          <w:color w:val="000000"/>
          <w:sz w:val="24"/>
        </w:rPr>
      </w:pPr>
    </w:p>
    <w:p w14:paraId="4A5221AD">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除</w:t>
      </w:r>
      <w:r>
        <w:rPr>
          <w:rFonts w:eastAsia="楷体_GB2312"/>
          <w:sz w:val="24"/>
        </w:rPr>
        <w:t>“中国法律”</w:t>
      </w:r>
      <w:r>
        <w:rPr>
          <w:rFonts w:eastAsia="楷体_GB2312"/>
          <w:color w:val="000000"/>
          <w:sz w:val="24"/>
        </w:rPr>
        <w:t>另有规定外，</w:t>
      </w:r>
      <w:r>
        <w:rPr>
          <w:rFonts w:eastAsia="楷体_GB2312"/>
          <w:sz w:val="24"/>
        </w:rPr>
        <w:t>“</w:t>
      </w:r>
      <w:r>
        <w:rPr>
          <w:rFonts w:eastAsia="楷体_GB2312"/>
          <w:color w:val="000000"/>
          <w:sz w:val="24"/>
        </w:rPr>
        <w:t>委托人</w:t>
      </w:r>
      <w:r>
        <w:rPr>
          <w:rFonts w:eastAsia="楷体_GB2312"/>
          <w:sz w:val="24"/>
        </w:rPr>
        <w:t>”</w:t>
      </w:r>
      <w:r>
        <w:rPr>
          <w:rFonts w:eastAsia="楷体_GB2312"/>
          <w:color w:val="000000"/>
          <w:sz w:val="24"/>
        </w:rPr>
        <w:t>承诺履行并仅履行本合同明确</w:t>
      </w:r>
      <w:r>
        <w:rPr>
          <w:rFonts w:eastAsia="楷体_GB2312"/>
          <w:sz w:val="24"/>
        </w:rPr>
        <w:t>约</w:t>
      </w:r>
      <w:r>
        <w:rPr>
          <w:rFonts w:eastAsia="楷体_GB2312"/>
          <w:color w:val="000000"/>
          <w:sz w:val="24"/>
        </w:rPr>
        <w:t>定的职责，</w:t>
      </w:r>
      <w:r>
        <w:rPr>
          <w:rFonts w:eastAsia="楷体_GB2312"/>
          <w:sz w:val="24"/>
        </w:rPr>
        <w:t>“</w:t>
      </w:r>
      <w:r>
        <w:rPr>
          <w:rFonts w:eastAsia="楷体_GB2312"/>
          <w:color w:val="000000"/>
          <w:sz w:val="24"/>
        </w:rPr>
        <w:t>委托人</w:t>
      </w:r>
      <w:r>
        <w:rPr>
          <w:rFonts w:eastAsia="楷体_GB2312"/>
          <w:sz w:val="24"/>
        </w:rPr>
        <w:t>”</w:t>
      </w:r>
      <w:r>
        <w:rPr>
          <w:rFonts w:eastAsia="楷体_GB2312"/>
          <w:color w:val="000000"/>
          <w:sz w:val="24"/>
        </w:rPr>
        <w:t>不承担任何默示的承诺或者义务，并不作出任何进一步的陈述与保证。</w:t>
      </w:r>
    </w:p>
    <w:p w14:paraId="4BE2D5F8">
      <w:pPr>
        <w:tabs>
          <w:tab w:val="left" w:pos="1620"/>
        </w:tabs>
        <w:spacing w:line="380" w:lineRule="atLeast"/>
        <w:ind w:left="1620" w:hanging="769"/>
        <w:rPr>
          <w:rFonts w:eastAsia="楷体_GB2312"/>
          <w:color w:val="000000"/>
          <w:sz w:val="24"/>
        </w:rPr>
      </w:pPr>
    </w:p>
    <w:p w14:paraId="5837690D">
      <w:pPr>
        <w:numPr>
          <w:ilvl w:val="2"/>
          <w:numId w:val="4"/>
        </w:numPr>
        <w:tabs>
          <w:tab w:val="left" w:pos="900"/>
        </w:tabs>
        <w:spacing w:line="380" w:lineRule="atLeast"/>
        <w:ind w:left="1620" w:hanging="769"/>
        <w:rPr>
          <w:rFonts w:eastAsia="楷体_GB2312"/>
          <w:color w:val="000000"/>
          <w:sz w:val="24"/>
        </w:rPr>
      </w:pPr>
      <w:r>
        <w:rPr>
          <w:rFonts w:eastAsia="楷体_GB2312"/>
          <w:sz w:val="24"/>
        </w:rPr>
        <w:t>“</w:t>
      </w:r>
      <w:r>
        <w:rPr>
          <w:rFonts w:eastAsia="楷体_GB2312"/>
          <w:color w:val="000000"/>
          <w:sz w:val="24"/>
        </w:rPr>
        <w:t>委托人</w:t>
      </w:r>
      <w:r>
        <w:rPr>
          <w:rFonts w:eastAsia="楷体_GB2312"/>
          <w:sz w:val="24"/>
        </w:rPr>
        <w:t>”</w:t>
      </w:r>
      <w:r>
        <w:rPr>
          <w:rFonts w:eastAsia="楷体_GB2312"/>
          <w:color w:val="000000"/>
          <w:sz w:val="24"/>
        </w:rPr>
        <w:t>对</w:t>
      </w:r>
      <w:r>
        <w:rPr>
          <w:rFonts w:eastAsia="楷体_GB2312"/>
          <w:sz w:val="24"/>
        </w:rPr>
        <w:t>“</w:t>
      </w:r>
      <w:r>
        <w:rPr>
          <w:rFonts w:eastAsia="楷体_GB2312"/>
          <w:color w:val="000000"/>
          <w:sz w:val="24"/>
        </w:rPr>
        <w:t>资产支持证券</w:t>
      </w:r>
      <w:r>
        <w:rPr>
          <w:rFonts w:eastAsia="楷体_GB2312"/>
          <w:sz w:val="24"/>
        </w:rPr>
        <w:t>”</w:t>
      </w:r>
      <w:r>
        <w:rPr>
          <w:rFonts w:eastAsia="楷体_GB2312"/>
          <w:color w:val="000000"/>
          <w:sz w:val="24"/>
        </w:rPr>
        <w:t>的收益不作任何保证或担保。</w:t>
      </w:r>
      <w:r>
        <w:rPr>
          <w:rFonts w:eastAsia="楷体_GB2312"/>
          <w:sz w:val="24"/>
        </w:rPr>
        <w:t>“</w:t>
      </w:r>
      <w:r>
        <w:rPr>
          <w:rFonts w:eastAsia="楷体_GB2312"/>
          <w:color w:val="000000"/>
          <w:sz w:val="24"/>
        </w:rPr>
        <w:t>资产支持证券</w:t>
      </w:r>
      <w:r>
        <w:rPr>
          <w:rFonts w:eastAsia="楷体_GB2312"/>
          <w:sz w:val="24"/>
        </w:rPr>
        <w:t>”</w:t>
      </w:r>
      <w:r>
        <w:rPr>
          <w:rFonts w:eastAsia="楷体_GB2312"/>
          <w:color w:val="000000"/>
          <w:sz w:val="24"/>
        </w:rPr>
        <w:t>仅代表特定目的信托受益权的相应份额，不构成</w:t>
      </w:r>
      <w:r>
        <w:rPr>
          <w:rFonts w:eastAsia="楷体_GB2312"/>
          <w:sz w:val="24"/>
        </w:rPr>
        <w:t>“</w:t>
      </w:r>
      <w:r>
        <w:rPr>
          <w:rFonts w:eastAsia="楷体_GB2312"/>
          <w:color w:val="000000"/>
          <w:sz w:val="24"/>
        </w:rPr>
        <w:t>委托人</w:t>
      </w:r>
      <w:r>
        <w:rPr>
          <w:rFonts w:eastAsia="楷体_GB2312"/>
          <w:sz w:val="24"/>
        </w:rPr>
        <w:t>”</w:t>
      </w:r>
      <w:r>
        <w:rPr>
          <w:rFonts w:eastAsia="楷体_GB2312"/>
          <w:color w:val="000000"/>
          <w:sz w:val="24"/>
        </w:rPr>
        <w:t>对</w:t>
      </w:r>
      <w:r>
        <w:rPr>
          <w:rFonts w:eastAsia="楷体_GB2312"/>
          <w:sz w:val="24"/>
        </w:rPr>
        <w:t>“</w:t>
      </w:r>
      <w:r>
        <w:rPr>
          <w:rFonts w:eastAsia="楷体_GB2312"/>
          <w:color w:val="000000"/>
          <w:sz w:val="24"/>
        </w:rPr>
        <w:t>资产支持证券持有人</w:t>
      </w:r>
      <w:r>
        <w:rPr>
          <w:rFonts w:eastAsia="楷体_GB2312"/>
          <w:sz w:val="24"/>
        </w:rPr>
        <w:t>”</w:t>
      </w:r>
      <w:r>
        <w:rPr>
          <w:rFonts w:eastAsia="楷体_GB2312"/>
          <w:color w:val="000000"/>
          <w:sz w:val="24"/>
        </w:rPr>
        <w:t>的负债。</w:t>
      </w:r>
    </w:p>
    <w:p w14:paraId="60C60F62">
      <w:pPr>
        <w:tabs>
          <w:tab w:val="left" w:pos="1620"/>
        </w:tabs>
        <w:spacing w:line="380" w:lineRule="atLeast"/>
        <w:ind w:left="1620" w:hanging="769"/>
        <w:rPr>
          <w:rFonts w:eastAsia="楷体_GB2312"/>
          <w:color w:val="000000"/>
          <w:sz w:val="24"/>
        </w:rPr>
      </w:pPr>
    </w:p>
    <w:p w14:paraId="2948FF84">
      <w:pPr>
        <w:numPr>
          <w:ilvl w:val="0"/>
          <w:numId w:val="4"/>
        </w:numPr>
        <w:spacing w:line="380" w:lineRule="atLeast"/>
        <w:outlineLvl w:val="0"/>
        <w:rPr>
          <w:rFonts w:eastAsia="楷体_GB2312"/>
          <w:b/>
          <w:color w:val="000000"/>
          <w:sz w:val="24"/>
        </w:rPr>
      </w:pPr>
      <w:bookmarkStart w:id="642" w:name="_Ref123037229"/>
      <w:bookmarkStart w:id="643" w:name="_Toc110153469"/>
      <w:bookmarkStart w:id="644" w:name="_Ref173768358"/>
      <w:bookmarkStart w:id="645" w:name="_Toc19491"/>
      <w:bookmarkStart w:id="646" w:name="_Toc111281845"/>
      <w:bookmarkStart w:id="647" w:name="_Toc51277231"/>
      <w:bookmarkStart w:id="648" w:name="_Toc373951562"/>
      <w:r>
        <w:rPr>
          <w:rFonts w:eastAsia="楷体_GB2312"/>
          <w:b/>
          <w:sz w:val="24"/>
        </w:rPr>
        <w:t>信息</w:t>
      </w:r>
      <w:bookmarkStart w:id="649" w:name="_Toc92612950"/>
      <w:r>
        <w:rPr>
          <w:rFonts w:eastAsia="楷体_GB2312"/>
          <w:b/>
          <w:sz w:val="24"/>
        </w:rPr>
        <w:t>披露</w:t>
      </w:r>
      <w:bookmarkEnd w:id="642"/>
      <w:bookmarkEnd w:id="643"/>
      <w:bookmarkEnd w:id="644"/>
      <w:bookmarkEnd w:id="645"/>
      <w:bookmarkEnd w:id="646"/>
      <w:bookmarkEnd w:id="647"/>
      <w:bookmarkEnd w:id="648"/>
    </w:p>
    <w:bookmarkEnd w:id="649"/>
    <w:p w14:paraId="707F276B">
      <w:pPr>
        <w:pStyle w:val="78"/>
        <w:tabs>
          <w:tab w:val="left" w:pos="425"/>
        </w:tabs>
        <w:spacing w:line="360" w:lineRule="auto"/>
        <w:ind w:left="425" w:firstLine="0" w:firstLineChars="0"/>
        <w:rPr>
          <w:rFonts w:eastAsia="楷体_GB2312"/>
          <w:b/>
          <w:bCs/>
          <w:i/>
          <w:iCs/>
          <w:color w:val="FF0000"/>
          <w:kern w:val="2"/>
          <w:sz w:val="24"/>
          <w:szCs w:val="24"/>
        </w:rPr>
      </w:pPr>
      <w:r>
        <w:rPr>
          <w:rFonts w:eastAsia="楷体_GB2312"/>
          <w:b/>
          <w:bCs/>
          <w:i/>
          <w:iCs/>
          <w:color w:val="FF0000"/>
          <w:kern w:val="2"/>
          <w:sz w:val="24"/>
          <w:szCs w:val="24"/>
        </w:rPr>
        <w:t>【注：对信息披露方式的约定应根据届时适用的信息披露规则进行调整。】</w:t>
      </w:r>
    </w:p>
    <w:p w14:paraId="5918241D">
      <w:pPr>
        <w:spacing w:line="380" w:lineRule="atLeast"/>
        <w:rPr>
          <w:rFonts w:eastAsia="楷体_GB2312"/>
          <w:b/>
          <w:color w:val="000000"/>
          <w:sz w:val="24"/>
        </w:rPr>
      </w:pPr>
    </w:p>
    <w:p w14:paraId="0E2E4A46">
      <w:pPr>
        <w:numPr>
          <w:ilvl w:val="1"/>
          <w:numId w:val="4"/>
        </w:numPr>
        <w:spacing w:line="380" w:lineRule="atLeast"/>
        <w:outlineLvl w:val="1"/>
        <w:rPr>
          <w:rFonts w:eastAsia="楷体_GB2312"/>
          <w:b/>
          <w:color w:val="000000"/>
          <w:sz w:val="24"/>
        </w:rPr>
      </w:pPr>
      <w:bookmarkStart w:id="650" w:name="_Toc111281846"/>
      <w:bookmarkStart w:id="651" w:name="_Toc110153470"/>
      <w:r>
        <w:rPr>
          <w:rFonts w:eastAsia="楷体_GB2312"/>
          <w:b/>
          <w:color w:val="000000"/>
          <w:sz w:val="24"/>
        </w:rPr>
        <w:t>信息</w:t>
      </w:r>
      <w:bookmarkStart w:id="652" w:name="_Toc92612951"/>
      <w:r>
        <w:rPr>
          <w:rFonts w:eastAsia="楷体_GB2312"/>
          <w:b/>
          <w:color w:val="000000"/>
          <w:sz w:val="24"/>
        </w:rPr>
        <w:t>披露</w:t>
      </w:r>
      <w:r>
        <w:rPr>
          <w:rFonts w:eastAsia="楷体_GB2312"/>
          <w:b/>
          <w:sz w:val="24"/>
        </w:rPr>
        <w:t>文件</w:t>
      </w:r>
      <w:bookmarkEnd w:id="650"/>
      <w:bookmarkEnd w:id="651"/>
    </w:p>
    <w:bookmarkEnd w:id="652"/>
    <w:p w14:paraId="20E41BD3">
      <w:pPr>
        <w:spacing w:line="380" w:lineRule="atLeast"/>
        <w:rPr>
          <w:rFonts w:eastAsia="楷体_GB2312"/>
          <w:color w:val="000000"/>
          <w:sz w:val="24"/>
        </w:rPr>
      </w:pPr>
    </w:p>
    <w:p w14:paraId="6A0C3090">
      <w:pPr>
        <w:numPr>
          <w:ilvl w:val="2"/>
          <w:numId w:val="4"/>
        </w:numPr>
        <w:tabs>
          <w:tab w:val="left" w:pos="900"/>
        </w:tabs>
        <w:spacing w:line="380" w:lineRule="atLeast"/>
        <w:ind w:left="1620" w:hanging="769"/>
        <w:rPr>
          <w:rFonts w:eastAsia="楷体_GB2312"/>
          <w:b/>
          <w:color w:val="000000"/>
          <w:sz w:val="24"/>
        </w:rPr>
      </w:pPr>
      <w:r>
        <w:rPr>
          <w:rFonts w:eastAsia="楷体_GB2312"/>
          <w:sz w:val="24"/>
        </w:rPr>
        <w:t>“受</w:t>
      </w:r>
      <w:r>
        <w:rPr>
          <w:rFonts w:eastAsia="楷体_GB2312"/>
          <w:color w:val="000000"/>
          <w:sz w:val="24"/>
        </w:rPr>
        <w:t>托人</w:t>
      </w:r>
      <w:r>
        <w:rPr>
          <w:rFonts w:eastAsia="楷体_GB2312"/>
          <w:sz w:val="24"/>
        </w:rPr>
        <w:t>”</w:t>
      </w:r>
      <w:r>
        <w:rPr>
          <w:rFonts w:eastAsia="楷体_GB2312"/>
          <w:color w:val="000000"/>
          <w:sz w:val="24"/>
        </w:rPr>
        <w:t>通过</w:t>
      </w:r>
      <w:r>
        <w:rPr>
          <w:rFonts w:eastAsia="楷体_GB2312"/>
          <w:sz w:val="24"/>
        </w:rPr>
        <w:t>“</w:t>
      </w:r>
      <w:r>
        <w:rPr>
          <w:rFonts w:eastAsia="楷体_GB2312"/>
          <w:color w:val="000000"/>
          <w:sz w:val="24"/>
        </w:rPr>
        <w:t>受托机构报告</w:t>
      </w:r>
      <w:r>
        <w:rPr>
          <w:rFonts w:eastAsia="楷体_GB2312"/>
          <w:sz w:val="24"/>
        </w:rPr>
        <w:t>”</w:t>
      </w:r>
      <w:r>
        <w:rPr>
          <w:rFonts w:eastAsia="楷体_GB2312"/>
          <w:color w:val="000000"/>
          <w:sz w:val="24"/>
        </w:rPr>
        <w:t>（格式见本合同</w:t>
      </w:r>
      <w:r>
        <w:rPr>
          <w:rFonts w:eastAsia="楷体_GB2312"/>
          <w:i/>
          <w:iCs/>
          <w:color w:val="000000"/>
          <w:sz w:val="24"/>
        </w:rPr>
        <w:t>【</w:t>
      </w:r>
      <w:r>
        <w:rPr>
          <w:rFonts w:eastAsia="楷体_GB2312"/>
          <w:b/>
          <w:i/>
          <w:color w:val="000000"/>
          <w:sz w:val="24"/>
        </w:rPr>
        <w:t>附件十】</w:t>
      </w:r>
      <w:r>
        <w:rPr>
          <w:rFonts w:eastAsia="楷体_GB2312"/>
          <w:color w:val="000000"/>
          <w:sz w:val="24"/>
        </w:rPr>
        <w:t>）、《资产支持证券评级报告》、《信托事务清算报告》和</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认为需要披露的其他报告的方式进行信息披露。</w:t>
      </w:r>
      <w:r>
        <w:rPr>
          <w:rFonts w:eastAsia="楷体_GB2312"/>
          <w:sz w:val="24"/>
        </w:rPr>
        <w:t>“</w:t>
      </w:r>
      <w:r>
        <w:rPr>
          <w:rFonts w:eastAsia="楷体_GB2312"/>
          <w:color w:val="000000"/>
          <w:sz w:val="24"/>
        </w:rPr>
        <w:t>资产支持证券持有人</w:t>
      </w:r>
      <w:r>
        <w:rPr>
          <w:rFonts w:eastAsia="楷体_GB2312"/>
          <w:sz w:val="24"/>
        </w:rPr>
        <w:t>”</w:t>
      </w:r>
      <w:r>
        <w:rPr>
          <w:rFonts w:eastAsia="楷体_GB2312"/>
          <w:color w:val="000000"/>
          <w:sz w:val="24"/>
        </w:rPr>
        <w:t>通过前述方式了解</w:t>
      </w:r>
      <w:r>
        <w:rPr>
          <w:rFonts w:eastAsia="楷体_GB2312"/>
          <w:sz w:val="24"/>
        </w:rPr>
        <w:t>“</w:t>
      </w:r>
      <w:r>
        <w:rPr>
          <w:rFonts w:eastAsia="楷体_GB2312"/>
          <w:color w:val="000000"/>
          <w:sz w:val="24"/>
        </w:rPr>
        <w:t>信托</w:t>
      </w:r>
      <w:r>
        <w:rPr>
          <w:rFonts w:eastAsia="楷体_GB2312"/>
          <w:sz w:val="24"/>
        </w:rPr>
        <w:t>”</w:t>
      </w:r>
      <w:r>
        <w:rPr>
          <w:rFonts w:eastAsia="楷体_GB2312"/>
          <w:color w:val="000000"/>
          <w:sz w:val="24"/>
        </w:rPr>
        <w:t>的管理</w:t>
      </w:r>
      <w:r>
        <w:rPr>
          <w:rFonts w:eastAsia="楷体_GB2312"/>
          <w:sz w:val="24"/>
        </w:rPr>
        <w:t>、运用、处分及收支情况。</w:t>
      </w:r>
    </w:p>
    <w:p w14:paraId="70AFE604">
      <w:pPr>
        <w:tabs>
          <w:tab w:val="left" w:pos="1571"/>
        </w:tabs>
        <w:spacing w:line="380" w:lineRule="atLeast"/>
        <w:ind w:left="1620" w:hanging="769"/>
        <w:rPr>
          <w:rFonts w:eastAsia="楷体_GB2312"/>
          <w:b/>
          <w:color w:val="000000"/>
          <w:sz w:val="24"/>
        </w:rPr>
      </w:pPr>
    </w:p>
    <w:p w14:paraId="27182243">
      <w:pPr>
        <w:numPr>
          <w:ilvl w:val="1"/>
          <w:numId w:val="4"/>
        </w:numPr>
        <w:spacing w:line="380" w:lineRule="atLeast"/>
        <w:outlineLvl w:val="1"/>
        <w:rPr>
          <w:rFonts w:eastAsia="楷体_GB2312"/>
          <w:b/>
          <w:color w:val="000000"/>
          <w:sz w:val="24"/>
        </w:rPr>
      </w:pPr>
      <w:bookmarkStart w:id="653" w:name="_Toc111281847"/>
      <w:bookmarkStart w:id="654" w:name="_Toc110153471"/>
      <w:r>
        <w:rPr>
          <w:rFonts w:eastAsia="楷体_GB2312"/>
          <w:b/>
          <w:sz w:val="24"/>
        </w:rPr>
        <w:t>信息</w:t>
      </w:r>
      <w:bookmarkStart w:id="655" w:name="_Toc92612952"/>
      <w:r>
        <w:rPr>
          <w:rFonts w:eastAsia="楷体_GB2312"/>
          <w:b/>
          <w:sz w:val="24"/>
        </w:rPr>
        <w:t>披露时间、方</w:t>
      </w:r>
      <w:bookmarkEnd w:id="655"/>
      <w:r>
        <w:rPr>
          <w:rFonts w:eastAsia="楷体_GB2312"/>
          <w:b/>
          <w:sz w:val="24"/>
        </w:rPr>
        <w:t>式</w:t>
      </w:r>
      <w:bookmarkEnd w:id="653"/>
      <w:bookmarkEnd w:id="654"/>
    </w:p>
    <w:p w14:paraId="63E73316">
      <w:pPr>
        <w:tabs>
          <w:tab w:val="left" w:pos="1571"/>
        </w:tabs>
        <w:spacing w:line="380" w:lineRule="atLeast"/>
        <w:ind w:left="1620" w:hanging="769"/>
        <w:rPr>
          <w:rFonts w:eastAsia="楷体_GB2312"/>
          <w:b/>
          <w:color w:val="000000"/>
          <w:sz w:val="24"/>
        </w:rPr>
      </w:pPr>
    </w:p>
    <w:p w14:paraId="379FCF86">
      <w:pPr>
        <w:numPr>
          <w:ilvl w:val="2"/>
          <w:numId w:val="4"/>
        </w:numPr>
        <w:tabs>
          <w:tab w:val="left" w:pos="900"/>
        </w:tabs>
        <w:spacing w:line="380" w:lineRule="atLeast"/>
        <w:ind w:left="1620" w:hanging="769"/>
        <w:rPr>
          <w:rFonts w:eastAsia="楷体_GB2312"/>
          <w:sz w:val="24"/>
        </w:rPr>
      </w:pPr>
      <w:bookmarkStart w:id="656" w:name="_Ref111698061"/>
      <w:r>
        <w:rPr>
          <w:rFonts w:eastAsia="楷体_GB2312"/>
          <w:color w:val="000000"/>
          <w:sz w:val="24"/>
        </w:rPr>
        <w:t>“受托人”应通过“交易商协会”综合业务和信息服务平台、中国货币网、中国债券信息网、“北金所”官方网站及“交易商协会”认可的其他方式进行相关的信息披露。“受托人”应保证信息披露及时、真实、准确和完整，不得有虚假记载、误导性陈述和重大遗漏</w:t>
      </w:r>
      <w:r>
        <w:rPr>
          <w:rFonts w:eastAsia="楷体_GB2312"/>
          <w:sz w:val="24"/>
        </w:rPr>
        <w:t>。</w:t>
      </w:r>
      <w:bookmarkEnd w:id="656"/>
    </w:p>
    <w:p w14:paraId="08E91D2D">
      <w:pPr>
        <w:spacing w:line="380" w:lineRule="atLeast"/>
        <w:rPr>
          <w:rFonts w:eastAsia="楷体_GB2312"/>
          <w:sz w:val="24"/>
        </w:rPr>
      </w:pPr>
    </w:p>
    <w:p w14:paraId="7211047D">
      <w:pPr>
        <w:numPr>
          <w:ilvl w:val="2"/>
          <w:numId w:val="4"/>
        </w:numPr>
        <w:tabs>
          <w:tab w:val="left" w:pos="900"/>
        </w:tabs>
        <w:spacing w:line="380" w:lineRule="atLeast"/>
        <w:ind w:left="1620" w:hanging="769"/>
        <w:rPr>
          <w:rFonts w:eastAsia="楷体_GB2312"/>
          <w:sz w:val="24"/>
        </w:rPr>
      </w:pPr>
      <w:r>
        <w:rPr>
          <w:rFonts w:eastAsia="楷体_GB2312"/>
          <w:sz w:val="24"/>
        </w:rPr>
        <w:t>“委托人”和接受“受托人”委托为证券化提供服务的机构应按照本合同和相关合同的约定，及时向“受托人”提供有关信息报告，并保证其向“受托人”所提供信息真实、准确和完整。</w:t>
      </w:r>
    </w:p>
    <w:p w14:paraId="11E611A5">
      <w:pPr>
        <w:tabs>
          <w:tab w:val="left" w:pos="1800"/>
          <w:tab w:val="left" w:pos="1980"/>
        </w:tabs>
        <w:spacing w:line="380" w:lineRule="atLeast"/>
        <w:ind w:left="1080"/>
        <w:rPr>
          <w:rFonts w:eastAsia="楷体_GB2312"/>
          <w:sz w:val="24"/>
        </w:rPr>
      </w:pPr>
    </w:p>
    <w:p w14:paraId="423F9F83">
      <w:pPr>
        <w:numPr>
          <w:ilvl w:val="2"/>
          <w:numId w:val="4"/>
        </w:numPr>
        <w:tabs>
          <w:tab w:val="left" w:pos="900"/>
        </w:tabs>
        <w:spacing w:line="380" w:lineRule="atLeast"/>
        <w:ind w:left="1620" w:hanging="769"/>
        <w:rPr>
          <w:rFonts w:eastAsia="楷体_GB2312"/>
          <w:sz w:val="24"/>
        </w:rPr>
      </w:pPr>
      <w:r>
        <w:rPr>
          <w:rFonts w:eastAsia="楷体_GB2312"/>
          <w:sz w:val="24"/>
        </w:rPr>
        <w:t>“委托人”、“受托人”、为证券化提供服务的机构等相关知情人在信息披露前不得泄露拟披露的信息。</w:t>
      </w:r>
    </w:p>
    <w:p w14:paraId="1DD743C0">
      <w:pPr>
        <w:tabs>
          <w:tab w:val="left" w:pos="1800"/>
          <w:tab w:val="left" w:pos="1980"/>
        </w:tabs>
        <w:spacing w:line="380" w:lineRule="atLeast"/>
        <w:ind w:left="1080"/>
        <w:rPr>
          <w:rFonts w:eastAsia="楷体_GB2312"/>
          <w:sz w:val="24"/>
        </w:rPr>
      </w:pPr>
    </w:p>
    <w:p w14:paraId="664EEA73">
      <w:pPr>
        <w:numPr>
          <w:ilvl w:val="2"/>
          <w:numId w:val="4"/>
        </w:numPr>
        <w:tabs>
          <w:tab w:val="left" w:pos="900"/>
        </w:tabs>
        <w:spacing w:line="380" w:lineRule="atLeast"/>
        <w:ind w:left="1620" w:hanging="769"/>
        <w:rPr>
          <w:rFonts w:eastAsia="楷体_GB2312"/>
          <w:sz w:val="24"/>
        </w:rPr>
      </w:pPr>
      <w:r>
        <w:rPr>
          <w:rFonts w:eastAsia="楷体_GB2312"/>
          <w:sz w:val="24"/>
        </w:rPr>
        <w:t>在“信托期限”内，“受托人”应于每个“受托机构报告日”向</w:t>
      </w:r>
      <w:r>
        <w:rPr>
          <w:rFonts w:eastAsia="楷体_GB2312"/>
          <w:color w:val="000000"/>
          <w:sz w:val="24"/>
        </w:rPr>
        <w:t>“交易商协会”综合业务和信息服务平台、中国货币网、中国债券信息网、“北金所”官方网站及“交易商协会”认可的其他方式</w:t>
      </w:r>
      <w:r>
        <w:rPr>
          <w:rFonts w:eastAsia="楷体_GB2312"/>
          <w:sz w:val="24"/>
        </w:rPr>
        <w:t>提供“受托机构报告”，反映当期“资产支持证券”对应的“信托财产”状况和各级别“资产支持证券”对应的本息支付信息。</w:t>
      </w:r>
    </w:p>
    <w:p w14:paraId="7C85257A">
      <w:pPr>
        <w:tabs>
          <w:tab w:val="left" w:pos="1800"/>
          <w:tab w:val="left" w:pos="1980"/>
        </w:tabs>
        <w:spacing w:line="380" w:lineRule="atLeast"/>
        <w:ind w:left="1080"/>
        <w:rPr>
          <w:rFonts w:eastAsia="楷体_GB2312"/>
          <w:sz w:val="24"/>
        </w:rPr>
      </w:pPr>
    </w:p>
    <w:p w14:paraId="1AFBA226">
      <w:pPr>
        <w:numPr>
          <w:ilvl w:val="2"/>
          <w:numId w:val="4"/>
        </w:numPr>
        <w:tabs>
          <w:tab w:val="left" w:pos="900"/>
        </w:tabs>
        <w:spacing w:line="380" w:lineRule="atLeast"/>
        <w:ind w:left="1620" w:hanging="769"/>
        <w:rPr>
          <w:rFonts w:eastAsia="楷体_GB2312"/>
          <w:sz w:val="24"/>
        </w:rPr>
      </w:pPr>
      <w:r>
        <w:rPr>
          <w:rFonts w:eastAsia="楷体_GB2312"/>
          <w:sz w:val="24"/>
        </w:rPr>
        <w:t>在每年4月30日前，“受托人”公布经“审计师”审计的上年度的“受托机构报告”。</w:t>
      </w:r>
    </w:p>
    <w:p w14:paraId="428843C7">
      <w:pPr>
        <w:tabs>
          <w:tab w:val="left" w:pos="1800"/>
          <w:tab w:val="left" w:pos="1980"/>
        </w:tabs>
        <w:spacing w:line="380" w:lineRule="atLeast"/>
        <w:ind w:left="1080"/>
        <w:rPr>
          <w:rFonts w:eastAsia="楷体_GB2312"/>
          <w:sz w:val="24"/>
        </w:rPr>
      </w:pPr>
    </w:p>
    <w:p w14:paraId="009CF713">
      <w:pPr>
        <w:numPr>
          <w:ilvl w:val="2"/>
          <w:numId w:val="4"/>
        </w:numPr>
        <w:tabs>
          <w:tab w:val="left" w:pos="900"/>
        </w:tabs>
        <w:spacing w:line="380" w:lineRule="atLeast"/>
        <w:ind w:left="1620" w:hanging="769"/>
        <w:rPr>
          <w:rFonts w:eastAsia="楷体_GB2312"/>
          <w:sz w:val="24"/>
        </w:rPr>
      </w:pPr>
      <w:r>
        <w:rPr>
          <w:rFonts w:eastAsia="楷体_GB2312"/>
          <w:sz w:val="24"/>
        </w:rPr>
        <w:t>“受托人”应与信用评级公司就“优先级资产支持证券”跟踪评级的有关安排作出约定，并应于“优先级资产支持证券”存续期限内每年的7月31日前向“资产支持证券持有人”披露上年度信用评级公司的跟踪评级报告。</w:t>
      </w:r>
    </w:p>
    <w:p w14:paraId="20BF35D9">
      <w:pPr>
        <w:tabs>
          <w:tab w:val="left" w:pos="1800"/>
          <w:tab w:val="left" w:pos="1980"/>
        </w:tabs>
        <w:spacing w:line="380" w:lineRule="atLeast"/>
        <w:ind w:left="1080"/>
        <w:rPr>
          <w:rFonts w:eastAsia="楷体_GB2312"/>
          <w:sz w:val="24"/>
        </w:rPr>
      </w:pPr>
    </w:p>
    <w:p w14:paraId="6281842C">
      <w:pPr>
        <w:numPr>
          <w:ilvl w:val="2"/>
          <w:numId w:val="4"/>
        </w:numPr>
        <w:tabs>
          <w:tab w:val="left" w:pos="900"/>
        </w:tabs>
        <w:spacing w:line="380" w:lineRule="atLeast"/>
        <w:ind w:left="1620" w:hanging="769"/>
        <w:rPr>
          <w:rFonts w:eastAsia="楷体_GB2312"/>
          <w:sz w:val="24"/>
        </w:rPr>
      </w:pPr>
      <w:r>
        <w:rPr>
          <w:rFonts w:eastAsia="楷体_GB2312"/>
          <w:sz w:val="24"/>
        </w:rPr>
        <w:t>在发生对“信贷资产”价值具有实质性影响的临时性重大事件时，“受托人”应在知道或者应当知道事件发生后的【】个“工作日”内向“同业拆借中心”和“登记托管机构”提交信息披露材料</w:t>
      </w:r>
      <w:r>
        <w:rPr>
          <w:rFonts w:eastAsia="楷体_GB2312"/>
          <w:color w:val="000000"/>
          <w:sz w:val="24"/>
        </w:rPr>
        <w:t>（格式参见本合同</w:t>
      </w:r>
      <w:r>
        <w:rPr>
          <w:rFonts w:hint="eastAsia" w:eastAsia="楷体_GB2312"/>
          <w:color w:val="000000"/>
          <w:sz w:val="24"/>
        </w:rPr>
        <w:t>【</w:t>
      </w:r>
      <w:r>
        <w:rPr>
          <w:rFonts w:eastAsia="楷体_GB2312"/>
          <w:b/>
          <w:i/>
          <w:color w:val="000000"/>
          <w:sz w:val="24"/>
        </w:rPr>
        <w:t>附件十一</w:t>
      </w:r>
      <w:r>
        <w:rPr>
          <w:rFonts w:hint="eastAsia" w:eastAsia="楷体_GB2312"/>
          <w:b/>
          <w:iCs/>
          <w:color w:val="000000"/>
          <w:sz w:val="24"/>
        </w:rPr>
        <w:t>】</w:t>
      </w:r>
      <w:r>
        <w:rPr>
          <w:rFonts w:eastAsia="楷体_GB2312"/>
          <w:color w:val="000000"/>
          <w:sz w:val="24"/>
        </w:rPr>
        <w:t>）</w:t>
      </w:r>
      <w:r>
        <w:rPr>
          <w:rFonts w:eastAsia="楷体_GB2312"/>
          <w:sz w:val="24"/>
        </w:rPr>
        <w:t>，向“人民银行”、“金融监管总局”和“交易商协会”报告</w:t>
      </w:r>
      <w:r>
        <w:rPr>
          <w:rFonts w:eastAsia="楷体_GB2312"/>
          <w:color w:val="000000"/>
          <w:sz w:val="24"/>
        </w:rPr>
        <w:t>，并按照规定向“银登中心”进行登记</w:t>
      </w:r>
      <w:r>
        <w:rPr>
          <w:rFonts w:eastAsia="楷体_GB2312"/>
          <w:sz w:val="24"/>
        </w:rPr>
        <w:t>。本条所称临时性重大事件包括但不限于以下情形：</w:t>
      </w:r>
    </w:p>
    <w:p w14:paraId="1DB8761F">
      <w:pPr>
        <w:tabs>
          <w:tab w:val="left" w:pos="1800"/>
          <w:tab w:val="left" w:pos="1980"/>
        </w:tabs>
        <w:spacing w:line="380" w:lineRule="atLeast"/>
        <w:ind w:left="1080"/>
        <w:rPr>
          <w:rFonts w:eastAsia="楷体_GB2312"/>
          <w:sz w:val="24"/>
        </w:rPr>
      </w:pPr>
    </w:p>
    <w:p w14:paraId="4898553C">
      <w:pPr>
        <w:numPr>
          <w:ilvl w:val="0"/>
          <w:numId w:val="28"/>
        </w:numPr>
        <w:spacing w:line="380" w:lineRule="atLeast"/>
        <w:ind w:hanging="519"/>
        <w:rPr>
          <w:rFonts w:eastAsia="楷体_GB2312"/>
          <w:sz w:val="24"/>
        </w:rPr>
      </w:pPr>
      <w:r>
        <w:rPr>
          <w:rFonts w:eastAsia="楷体_GB2312"/>
          <w:sz w:val="24"/>
        </w:rPr>
        <w:t>发生或已预期到将发生“受托人”不能按时支付“优先级资产支持证券”的本息等影响投资者利益的事项；</w:t>
      </w:r>
    </w:p>
    <w:p w14:paraId="170AADB3">
      <w:pPr>
        <w:pStyle w:val="69"/>
        <w:ind w:firstLine="480"/>
        <w:rPr>
          <w:rFonts w:eastAsia="楷体_GB2312"/>
          <w:sz w:val="24"/>
        </w:rPr>
      </w:pPr>
    </w:p>
    <w:p w14:paraId="0FB669C6">
      <w:pPr>
        <w:numPr>
          <w:ilvl w:val="0"/>
          <w:numId w:val="28"/>
        </w:numPr>
        <w:spacing w:line="380" w:lineRule="atLeast"/>
        <w:ind w:hanging="519"/>
        <w:rPr>
          <w:rFonts w:eastAsia="楷体_GB2312"/>
          <w:sz w:val="24"/>
        </w:rPr>
      </w:pPr>
      <w:r>
        <w:rPr>
          <w:rFonts w:eastAsia="楷体_GB2312"/>
          <w:sz w:val="24"/>
        </w:rPr>
        <w:t>“受托人”和为证券化提供服务的机构（如“贷款服务机构”或“资金保管机构”）发生影响“优先级资产支持证券”投资价值的违法、违规或违约行为；</w:t>
      </w:r>
    </w:p>
    <w:p w14:paraId="640477D1">
      <w:pPr>
        <w:spacing w:line="380" w:lineRule="atLeast"/>
        <w:ind w:left="2220"/>
        <w:rPr>
          <w:rFonts w:eastAsia="楷体_GB2312"/>
          <w:sz w:val="24"/>
        </w:rPr>
      </w:pPr>
    </w:p>
    <w:p w14:paraId="1A75712F">
      <w:pPr>
        <w:numPr>
          <w:ilvl w:val="0"/>
          <w:numId w:val="28"/>
        </w:numPr>
        <w:spacing w:line="380" w:lineRule="atLeast"/>
        <w:ind w:hanging="519"/>
        <w:rPr>
          <w:rFonts w:eastAsia="楷体_GB2312"/>
          <w:sz w:val="24"/>
        </w:rPr>
      </w:pPr>
      <w:r>
        <w:rPr>
          <w:rFonts w:eastAsia="楷体_GB2312"/>
          <w:sz w:val="24"/>
        </w:rPr>
        <w:t>“受托人”和为证券化提供服务的机构（如“贷款服务机构”或“资金保管机构”）发生变更；</w:t>
      </w:r>
    </w:p>
    <w:p w14:paraId="2683CCE7">
      <w:pPr>
        <w:spacing w:line="380" w:lineRule="atLeast"/>
        <w:ind w:left="2220"/>
        <w:rPr>
          <w:rFonts w:eastAsia="楷体_GB2312"/>
          <w:sz w:val="24"/>
        </w:rPr>
      </w:pPr>
    </w:p>
    <w:p w14:paraId="29586F91">
      <w:pPr>
        <w:numPr>
          <w:ilvl w:val="0"/>
          <w:numId w:val="28"/>
        </w:numPr>
        <w:spacing w:line="380" w:lineRule="atLeast"/>
        <w:ind w:hanging="519"/>
        <w:rPr>
          <w:rFonts w:eastAsia="楷体_GB2312"/>
          <w:sz w:val="24"/>
        </w:rPr>
      </w:pPr>
      <w:r>
        <w:rPr>
          <w:rFonts w:eastAsia="楷体_GB2312"/>
          <w:sz w:val="24"/>
        </w:rPr>
        <w:t>“优先级资产支持证券”的信用评级发生不利变化；</w:t>
      </w:r>
    </w:p>
    <w:p w14:paraId="40BCE99D">
      <w:pPr>
        <w:tabs>
          <w:tab w:val="left" w:pos="2220"/>
        </w:tabs>
        <w:spacing w:line="380" w:lineRule="atLeast"/>
        <w:ind w:left="2220"/>
        <w:rPr>
          <w:rFonts w:eastAsia="楷体_GB2312"/>
          <w:sz w:val="24"/>
        </w:rPr>
      </w:pPr>
    </w:p>
    <w:p w14:paraId="2A5B0101">
      <w:pPr>
        <w:numPr>
          <w:ilvl w:val="0"/>
          <w:numId w:val="28"/>
        </w:numPr>
        <w:spacing w:line="380" w:lineRule="atLeast"/>
        <w:ind w:hanging="519"/>
        <w:rPr>
          <w:rFonts w:eastAsia="楷体_GB2312"/>
          <w:sz w:val="24"/>
        </w:rPr>
      </w:pPr>
      <w:r>
        <w:rPr>
          <w:rFonts w:eastAsia="楷体_GB2312"/>
          <w:sz w:val="24"/>
        </w:rPr>
        <w:t>“受托人”和为证券化提供服务的机构（如“贷款服务机构”或“资金保管机构”）或“信贷资产”涉及法律纠纷，可能影响“交易文件”约定的正常分配收益的；</w:t>
      </w:r>
    </w:p>
    <w:p w14:paraId="00425C75">
      <w:pPr>
        <w:spacing w:line="380" w:lineRule="atLeast"/>
        <w:ind w:left="2220"/>
        <w:rPr>
          <w:rFonts w:eastAsia="楷体_GB2312"/>
          <w:sz w:val="24"/>
        </w:rPr>
      </w:pPr>
    </w:p>
    <w:p w14:paraId="0CE1A6DC">
      <w:pPr>
        <w:numPr>
          <w:ilvl w:val="0"/>
          <w:numId w:val="28"/>
        </w:numPr>
        <w:spacing w:line="380" w:lineRule="atLeast"/>
        <w:ind w:hanging="519"/>
        <w:rPr>
          <w:rFonts w:eastAsia="楷体_GB2312"/>
          <w:sz w:val="24"/>
        </w:rPr>
      </w:pPr>
      <w:r>
        <w:rPr>
          <w:rFonts w:eastAsia="楷体_GB2312"/>
          <w:sz w:val="24"/>
        </w:rPr>
        <w:t>“受托人”、“发起机构”和为证券化提供服务的机构（如“贷款服务机构”或“资金保管机构”）发生重大变化，或者做出减资、合并、分立、解散、申请破产等决定，可能降低其从事证券化业务水平，对“优先级资产支持证券持有人”造成“重大不利影响”的；</w:t>
      </w:r>
    </w:p>
    <w:p w14:paraId="47CAFBCC">
      <w:pPr>
        <w:spacing w:line="380" w:lineRule="atLeast"/>
        <w:ind w:left="2220"/>
        <w:rPr>
          <w:rFonts w:eastAsia="楷体_GB2312"/>
          <w:sz w:val="24"/>
        </w:rPr>
      </w:pPr>
    </w:p>
    <w:p w14:paraId="512A99F7">
      <w:pPr>
        <w:numPr>
          <w:ilvl w:val="0"/>
          <w:numId w:val="28"/>
        </w:numPr>
        <w:spacing w:line="380" w:lineRule="atLeast"/>
        <w:ind w:hanging="519"/>
        <w:rPr>
          <w:rFonts w:eastAsia="楷体_GB2312"/>
          <w:sz w:val="24"/>
        </w:rPr>
      </w:pPr>
      <w:r>
        <w:rPr>
          <w:rFonts w:eastAsia="楷体_GB2312"/>
          <w:sz w:val="24"/>
        </w:rPr>
        <w:t>本合同约定应公告的其他事项；</w:t>
      </w:r>
    </w:p>
    <w:p w14:paraId="6A61739E">
      <w:pPr>
        <w:spacing w:line="380" w:lineRule="atLeast"/>
        <w:rPr>
          <w:rFonts w:eastAsia="楷体_GB2312"/>
          <w:sz w:val="24"/>
        </w:rPr>
      </w:pPr>
    </w:p>
    <w:p w14:paraId="379D5AE7">
      <w:pPr>
        <w:numPr>
          <w:ilvl w:val="0"/>
          <w:numId w:val="28"/>
        </w:numPr>
        <w:spacing w:line="380" w:lineRule="atLeast"/>
        <w:ind w:hanging="519"/>
        <w:rPr>
          <w:rFonts w:eastAsia="楷体_GB2312"/>
          <w:sz w:val="24"/>
        </w:rPr>
      </w:pPr>
      <w:r>
        <w:rPr>
          <w:rFonts w:eastAsia="楷体_GB2312"/>
          <w:sz w:val="24"/>
        </w:rPr>
        <w:t>“人民银行”、“金融监管总局”规定应公告的其他事项；</w:t>
      </w:r>
    </w:p>
    <w:p w14:paraId="2AB515FA">
      <w:pPr>
        <w:spacing w:line="380" w:lineRule="atLeast"/>
        <w:ind w:left="2220"/>
        <w:rPr>
          <w:rFonts w:eastAsia="楷体_GB2312"/>
          <w:sz w:val="24"/>
        </w:rPr>
      </w:pPr>
    </w:p>
    <w:p w14:paraId="0018EB4B">
      <w:pPr>
        <w:numPr>
          <w:ilvl w:val="0"/>
          <w:numId w:val="28"/>
        </w:numPr>
        <w:spacing w:line="380" w:lineRule="atLeast"/>
        <w:ind w:hanging="519"/>
        <w:rPr>
          <w:rFonts w:eastAsia="楷体_GB2312"/>
          <w:sz w:val="24"/>
        </w:rPr>
      </w:pPr>
      <w:r>
        <w:rPr>
          <w:rFonts w:eastAsia="楷体_GB2312"/>
          <w:sz w:val="24"/>
        </w:rPr>
        <w:t>“中国法律”规定应公告的其他事项；</w:t>
      </w:r>
    </w:p>
    <w:p w14:paraId="57075D0F">
      <w:pPr>
        <w:pStyle w:val="78"/>
        <w:ind w:firstLine="480"/>
        <w:rPr>
          <w:rFonts w:eastAsia="楷体_GB2312"/>
          <w:sz w:val="24"/>
        </w:rPr>
      </w:pPr>
    </w:p>
    <w:p w14:paraId="5089E6DC">
      <w:pPr>
        <w:numPr>
          <w:ilvl w:val="0"/>
          <w:numId w:val="28"/>
        </w:numPr>
        <w:spacing w:line="380" w:lineRule="atLeast"/>
        <w:ind w:hanging="519"/>
        <w:rPr>
          <w:rFonts w:eastAsia="楷体_GB2312"/>
          <w:sz w:val="24"/>
        </w:rPr>
      </w:pPr>
      <w:r>
        <w:rPr>
          <w:rFonts w:eastAsia="楷体_GB2312"/>
          <w:sz w:val="24"/>
        </w:rPr>
        <w:t>包括但不限于重大事件报告书中涉及的其他可能对“优先级资产支持证券持有人”造成“重大不利影响”的事件。</w:t>
      </w:r>
    </w:p>
    <w:p w14:paraId="556A684D">
      <w:pPr>
        <w:spacing w:line="380" w:lineRule="atLeast"/>
        <w:ind w:left="2157"/>
        <w:rPr>
          <w:rFonts w:eastAsia="楷体_GB2312"/>
          <w:sz w:val="24"/>
        </w:rPr>
      </w:pPr>
    </w:p>
    <w:p w14:paraId="6E303EC4">
      <w:pPr>
        <w:numPr>
          <w:ilvl w:val="1"/>
          <w:numId w:val="4"/>
        </w:numPr>
        <w:spacing w:line="380" w:lineRule="atLeast"/>
        <w:outlineLvl w:val="1"/>
        <w:rPr>
          <w:rFonts w:eastAsia="楷体_GB2312"/>
          <w:b/>
          <w:sz w:val="24"/>
        </w:rPr>
      </w:pPr>
      <w:bookmarkStart w:id="657" w:name="_Toc111281848"/>
      <w:bookmarkStart w:id="658" w:name="_Toc110153472"/>
      <w:r>
        <w:rPr>
          <w:rFonts w:eastAsia="楷体_GB2312"/>
          <w:b/>
          <w:sz w:val="24"/>
        </w:rPr>
        <w:t>受益</w:t>
      </w:r>
      <w:bookmarkStart w:id="659" w:name="_Toc92612954"/>
      <w:r>
        <w:rPr>
          <w:rFonts w:eastAsia="楷体_GB2312"/>
          <w:b/>
          <w:sz w:val="24"/>
        </w:rPr>
        <w:t>人知情权的行使</w:t>
      </w:r>
      <w:bookmarkEnd w:id="657"/>
      <w:bookmarkEnd w:id="658"/>
    </w:p>
    <w:p w14:paraId="4BE4DB84">
      <w:pPr>
        <w:tabs>
          <w:tab w:val="left" w:pos="540"/>
        </w:tabs>
        <w:spacing w:line="380" w:lineRule="atLeast"/>
        <w:rPr>
          <w:rFonts w:eastAsia="楷体_GB2312"/>
          <w:sz w:val="24"/>
        </w:rPr>
      </w:pPr>
    </w:p>
    <w:bookmarkEnd w:id="659"/>
    <w:p w14:paraId="25C6299A">
      <w:pPr>
        <w:numPr>
          <w:ilvl w:val="2"/>
          <w:numId w:val="4"/>
        </w:numPr>
        <w:tabs>
          <w:tab w:val="left" w:pos="900"/>
        </w:tabs>
        <w:spacing w:line="380" w:lineRule="atLeast"/>
        <w:ind w:left="1620" w:hanging="769"/>
        <w:rPr>
          <w:rFonts w:eastAsia="楷体_GB2312"/>
          <w:sz w:val="24"/>
        </w:rPr>
      </w:pPr>
      <w:r>
        <w:rPr>
          <w:rFonts w:eastAsia="楷体_GB2312"/>
          <w:sz w:val="24"/>
        </w:rPr>
        <w:t>“受益人”有权按照本合同的约定获得“信托”的相关信息；</w:t>
      </w:r>
    </w:p>
    <w:p w14:paraId="3E36B9D5">
      <w:pPr>
        <w:tabs>
          <w:tab w:val="left" w:pos="1800"/>
          <w:tab w:val="left" w:pos="1980"/>
        </w:tabs>
        <w:spacing w:line="380" w:lineRule="atLeast"/>
        <w:ind w:left="1080"/>
        <w:rPr>
          <w:rFonts w:eastAsia="楷体_GB2312"/>
          <w:sz w:val="24"/>
        </w:rPr>
      </w:pPr>
    </w:p>
    <w:p w14:paraId="548405C2">
      <w:pPr>
        <w:numPr>
          <w:ilvl w:val="2"/>
          <w:numId w:val="4"/>
        </w:numPr>
        <w:tabs>
          <w:tab w:val="left" w:pos="900"/>
        </w:tabs>
        <w:spacing w:line="380" w:lineRule="atLeast"/>
        <w:ind w:left="1620" w:hanging="769"/>
        <w:rPr>
          <w:rFonts w:eastAsia="楷体_GB2312"/>
          <w:sz w:val="24"/>
        </w:rPr>
      </w:pPr>
      <w:r>
        <w:rPr>
          <w:rFonts w:eastAsia="楷体_GB2312"/>
          <w:sz w:val="24"/>
        </w:rPr>
        <w:t>“受益人”对由本合同而获得的有关“信托”的任何非公开信息负有保密义务，不得滥用该信息。</w:t>
      </w:r>
    </w:p>
    <w:p w14:paraId="67DDB419">
      <w:pPr>
        <w:tabs>
          <w:tab w:val="left" w:pos="1800"/>
          <w:tab w:val="left" w:pos="1980"/>
        </w:tabs>
        <w:spacing w:line="380" w:lineRule="atLeast"/>
        <w:ind w:left="1080"/>
        <w:rPr>
          <w:rFonts w:eastAsia="楷体_GB2312"/>
          <w:sz w:val="24"/>
        </w:rPr>
      </w:pPr>
    </w:p>
    <w:p w14:paraId="3F530E01">
      <w:pPr>
        <w:numPr>
          <w:ilvl w:val="0"/>
          <w:numId w:val="4"/>
        </w:numPr>
        <w:spacing w:line="380" w:lineRule="atLeast"/>
        <w:outlineLvl w:val="0"/>
        <w:rPr>
          <w:rFonts w:eastAsia="楷体_GB2312"/>
          <w:b/>
          <w:color w:val="000000"/>
          <w:sz w:val="24"/>
        </w:rPr>
      </w:pPr>
      <w:bookmarkStart w:id="660" w:name="_Toc111281849"/>
      <w:bookmarkStart w:id="661" w:name="_Toc26985"/>
      <w:bookmarkStart w:id="662" w:name="_Toc373951563"/>
      <w:bookmarkStart w:id="663" w:name="_Toc51277232"/>
      <w:bookmarkStart w:id="664" w:name="_Toc110153473"/>
      <w:r>
        <w:rPr>
          <w:rFonts w:eastAsia="楷体_GB2312"/>
          <w:b/>
          <w:color w:val="000000"/>
          <w:sz w:val="24"/>
        </w:rPr>
        <w:t>信托</w:t>
      </w:r>
      <w:bookmarkStart w:id="665" w:name="_Toc92612955"/>
      <w:r>
        <w:rPr>
          <w:rFonts w:eastAsia="楷体_GB2312"/>
          <w:b/>
          <w:color w:val="000000"/>
          <w:sz w:val="24"/>
        </w:rPr>
        <w:t>的生效、变更和终止</w:t>
      </w:r>
      <w:bookmarkEnd w:id="660"/>
      <w:bookmarkEnd w:id="661"/>
      <w:bookmarkEnd w:id="662"/>
      <w:bookmarkEnd w:id="663"/>
      <w:bookmarkEnd w:id="664"/>
      <w:bookmarkStart w:id="666" w:name="_Toc51259008"/>
      <w:bookmarkEnd w:id="666"/>
    </w:p>
    <w:p w14:paraId="704D1DEB">
      <w:pPr>
        <w:spacing w:line="380" w:lineRule="atLeast"/>
        <w:rPr>
          <w:rFonts w:eastAsia="楷体_GB2312"/>
          <w:b/>
          <w:color w:val="000000"/>
          <w:sz w:val="24"/>
        </w:rPr>
      </w:pPr>
      <w:bookmarkStart w:id="667" w:name="_Toc51259009"/>
      <w:bookmarkEnd w:id="667"/>
    </w:p>
    <w:bookmarkEnd w:id="665"/>
    <w:p w14:paraId="5981AD3E">
      <w:pPr>
        <w:numPr>
          <w:ilvl w:val="1"/>
          <w:numId w:val="4"/>
        </w:numPr>
        <w:spacing w:line="380" w:lineRule="atLeast"/>
        <w:outlineLvl w:val="1"/>
        <w:rPr>
          <w:rFonts w:eastAsia="楷体_GB2312"/>
          <w:b/>
          <w:sz w:val="24"/>
        </w:rPr>
      </w:pPr>
      <w:bookmarkStart w:id="668" w:name="_Toc111281850"/>
      <w:bookmarkStart w:id="669" w:name="_Toc110153474"/>
      <w:bookmarkStart w:id="670" w:name="_Ref107145512"/>
      <w:r>
        <w:rPr>
          <w:rFonts w:eastAsia="楷体_GB2312"/>
          <w:b/>
          <w:sz w:val="24"/>
        </w:rPr>
        <w:t>信托</w:t>
      </w:r>
      <w:bookmarkStart w:id="671" w:name="_Toc92612956"/>
      <w:r>
        <w:rPr>
          <w:rFonts w:eastAsia="楷体_GB2312"/>
          <w:b/>
          <w:sz w:val="24"/>
        </w:rPr>
        <w:t>生效的条件</w:t>
      </w:r>
      <w:bookmarkEnd w:id="668"/>
      <w:bookmarkEnd w:id="669"/>
      <w:bookmarkEnd w:id="670"/>
      <w:bookmarkStart w:id="672" w:name="_Toc51259010"/>
      <w:bookmarkEnd w:id="672"/>
    </w:p>
    <w:p w14:paraId="5EDFFA83">
      <w:pPr>
        <w:tabs>
          <w:tab w:val="left" w:pos="540"/>
        </w:tabs>
        <w:spacing w:line="380" w:lineRule="atLeast"/>
        <w:rPr>
          <w:rFonts w:eastAsia="楷体_GB2312"/>
          <w:b/>
          <w:sz w:val="24"/>
        </w:rPr>
      </w:pPr>
      <w:bookmarkStart w:id="673" w:name="_Toc51259011"/>
      <w:bookmarkEnd w:id="673"/>
    </w:p>
    <w:bookmarkEnd w:id="671"/>
    <w:p w14:paraId="519A6F5F">
      <w:pPr>
        <w:spacing w:line="380" w:lineRule="atLeast"/>
        <w:ind w:left="992"/>
        <w:rPr>
          <w:rFonts w:eastAsia="楷体_GB2312"/>
          <w:sz w:val="24"/>
        </w:rPr>
      </w:pPr>
      <w:r>
        <w:rPr>
          <w:rFonts w:eastAsia="楷体_GB2312"/>
          <w:sz w:val="24"/>
        </w:rPr>
        <w:t>“信托”在下列条件全部满足之</w:t>
      </w:r>
      <w:r>
        <w:rPr>
          <w:rFonts w:hint="eastAsia" w:eastAsia="楷体_GB2312"/>
          <w:sz w:val="24"/>
        </w:rPr>
        <w:t>日起</w:t>
      </w:r>
      <w:r>
        <w:rPr>
          <w:rFonts w:eastAsia="楷体_GB2312"/>
          <w:sz w:val="24"/>
        </w:rPr>
        <w:t>生效：</w:t>
      </w:r>
      <w:bookmarkStart w:id="674" w:name="_Toc51259012"/>
      <w:bookmarkEnd w:id="674"/>
    </w:p>
    <w:p w14:paraId="2CAF6C0D">
      <w:pPr>
        <w:spacing w:line="380" w:lineRule="atLeast"/>
        <w:rPr>
          <w:rFonts w:eastAsia="楷体_GB2312"/>
          <w:sz w:val="24"/>
        </w:rPr>
      </w:pPr>
      <w:bookmarkStart w:id="675" w:name="_Toc51259013"/>
      <w:bookmarkEnd w:id="675"/>
    </w:p>
    <w:p w14:paraId="60D0EEB6">
      <w:pPr>
        <w:numPr>
          <w:ilvl w:val="2"/>
          <w:numId w:val="4"/>
        </w:numPr>
        <w:spacing w:line="380" w:lineRule="exact"/>
        <w:rPr>
          <w:rFonts w:eastAsia="楷体_GB2312"/>
          <w:color w:val="000000"/>
          <w:sz w:val="24"/>
        </w:rPr>
      </w:pPr>
      <w:r>
        <w:rPr>
          <w:rFonts w:eastAsia="楷体_GB2312"/>
          <w:color w:val="000000"/>
          <w:sz w:val="24"/>
        </w:rPr>
        <w:t>依据本合同第</w:t>
      </w:r>
      <w:r>
        <w:rPr>
          <w:rFonts w:eastAsia="楷体_GB2312"/>
        </w:rPr>
        <w:fldChar w:fldCharType="begin"/>
      </w:r>
      <w:r>
        <w:rPr>
          <w:rFonts w:eastAsia="楷体_GB2312"/>
        </w:rPr>
        <w:instrText xml:space="preserve"> REF _Ref111286339 \r \h  \* MERGEFORMAT </w:instrText>
      </w:r>
      <w:r>
        <w:rPr>
          <w:rFonts w:eastAsia="楷体_GB2312"/>
        </w:rPr>
        <w:fldChar w:fldCharType="separate"/>
      </w:r>
      <w:r>
        <w:rPr>
          <w:rFonts w:eastAsia="楷体_GB2312"/>
          <w:color w:val="000000"/>
          <w:sz w:val="24"/>
        </w:rPr>
        <w:t>29.2</w:t>
      </w:r>
      <w:r>
        <w:rPr>
          <w:rFonts w:eastAsia="楷体_GB2312"/>
        </w:rPr>
        <w:fldChar w:fldCharType="end"/>
      </w:r>
      <w:r>
        <w:rPr>
          <w:rFonts w:eastAsia="楷体_GB2312"/>
          <w:color w:val="000000"/>
          <w:sz w:val="24"/>
        </w:rPr>
        <w:t>款的约定，</w:t>
      </w:r>
      <w:r>
        <w:rPr>
          <w:rFonts w:eastAsia="楷体_GB2312"/>
          <w:sz w:val="24"/>
        </w:rPr>
        <w:t>“</w:t>
      </w:r>
      <w:r>
        <w:rPr>
          <w:rFonts w:eastAsia="楷体_GB2312"/>
          <w:color w:val="000000"/>
          <w:sz w:val="24"/>
        </w:rPr>
        <w:t>《信托合同》</w:t>
      </w:r>
      <w:r>
        <w:rPr>
          <w:rFonts w:eastAsia="楷体_GB2312"/>
          <w:sz w:val="24"/>
        </w:rPr>
        <w:t>”</w:t>
      </w:r>
      <w:r>
        <w:rPr>
          <w:rFonts w:eastAsia="楷体_GB2312"/>
          <w:color w:val="000000"/>
          <w:sz w:val="24"/>
        </w:rPr>
        <w:t>已经生效；</w:t>
      </w:r>
      <w:bookmarkStart w:id="676" w:name="_Toc51259014"/>
      <w:bookmarkEnd w:id="676"/>
    </w:p>
    <w:p w14:paraId="4A629A9A">
      <w:pPr>
        <w:spacing w:line="380" w:lineRule="atLeast"/>
        <w:rPr>
          <w:rFonts w:eastAsia="楷体_GB2312"/>
          <w:color w:val="000000"/>
          <w:sz w:val="24"/>
        </w:rPr>
      </w:pPr>
      <w:bookmarkStart w:id="677" w:name="_Toc51259015"/>
      <w:bookmarkEnd w:id="677"/>
    </w:p>
    <w:p w14:paraId="43D1E1A8">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在</w:t>
      </w:r>
      <w:r>
        <w:rPr>
          <w:rFonts w:eastAsia="楷体_GB2312"/>
          <w:sz w:val="24"/>
        </w:rPr>
        <w:t>“</w:t>
      </w:r>
      <w:r>
        <w:rPr>
          <w:rFonts w:eastAsia="楷体_GB2312"/>
          <w:color w:val="000000"/>
          <w:sz w:val="24"/>
        </w:rPr>
        <w:t>信托财产交付日</w:t>
      </w:r>
      <w:r>
        <w:rPr>
          <w:rFonts w:eastAsia="楷体_GB2312"/>
          <w:sz w:val="24"/>
        </w:rPr>
        <w:t>”</w:t>
      </w:r>
      <w:r>
        <w:rPr>
          <w:rFonts w:eastAsia="楷体_GB2312"/>
          <w:color w:val="000000"/>
          <w:sz w:val="24"/>
        </w:rPr>
        <w:t>，</w:t>
      </w:r>
      <w:r>
        <w:rPr>
          <w:rFonts w:eastAsia="楷体_GB2312"/>
          <w:sz w:val="24"/>
        </w:rPr>
        <w:t>“</w:t>
      </w:r>
      <w:r>
        <w:rPr>
          <w:rFonts w:eastAsia="楷体_GB2312"/>
          <w:color w:val="000000"/>
          <w:sz w:val="24"/>
        </w:rPr>
        <w:t>委托人</w:t>
      </w:r>
      <w:r>
        <w:rPr>
          <w:rFonts w:eastAsia="楷体_GB2312"/>
          <w:sz w:val="24"/>
        </w:rPr>
        <w:t>”</w:t>
      </w:r>
      <w:r>
        <w:rPr>
          <w:rFonts w:eastAsia="楷体_GB2312"/>
          <w:color w:val="000000"/>
          <w:sz w:val="24"/>
        </w:rPr>
        <w:t>将本合同第</w:t>
      </w:r>
      <w:r>
        <w:rPr>
          <w:rFonts w:eastAsia="楷体_GB2312"/>
          <w:color w:val="000000"/>
          <w:sz w:val="24"/>
        </w:rPr>
        <w:fldChar w:fldCharType="begin"/>
      </w:r>
      <w:r>
        <w:rPr>
          <w:rFonts w:eastAsia="楷体_GB2312"/>
          <w:color w:val="000000"/>
          <w:sz w:val="24"/>
        </w:rPr>
        <w:instrText xml:space="preserve"> REF _Ref51241105 \r \h </w:instrText>
      </w:r>
      <w:r>
        <w:rPr>
          <w:rFonts w:eastAsia="楷体_GB2312"/>
          <w:color w:val="000000"/>
          <w:sz w:val="24"/>
        </w:rPr>
        <w:fldChar w:fldCharType="separate"/>
      </w:r>
      <w:r>
        <w:rPr>
          <w:rFonts w:eastAsia="楷体_GB2312"/>
          <w:color w:val="000000"/>
          <w:sz w:val="24"/>
        </w:rPr>
        <w:t>3.9.1</w:t>
      </w:r>
      <w:r>
        <w:rPr>
          <w:rFonts w:eastAsia="楷体_GB2312"/>
          <w:color w:val="000000"/>
          <w:sz w:val="24"/>
        </w:rPr>
        <w:fldChar w:fldCharType="end"/>
      </w:r>
      <w:r>
        <w:rPr>
          <w:rFonts w:eastAsia="楷体_GB2312"/>
          <w:color w:val="000000"/>
          <w:sz w:val="24"/>
        </w:rPr>
        <w:t>款所列的全部文件交付给</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，且</w:t>
      </w:r>
      <w:r>
        <w:rPr>
          <w:rFonts w:eastAsia="楷体_GB2312"/>
          <w:sz w:val="24"/>
        </w:rPr>
        <w:t>“</w:t>
      </w:r>
      <w:r>
        <w:rPr>
          <w:rFonts w:eastAsia="楷体_GB2312"/>
          <w:color w:val="000000"/>
          <w:sz w:val="24"/>
        </w:rPr>
        <w:t>受托人</w:t>
      </w:r>
      <w:r>
        <w:rPr>
          <w:rFonts w:eastAsia="楷体_GB2312"/>
          <w:sz w:val="24"/>
        </w:rPr>
        <w:t>”</w:t>
      </w:r>
      <w:r>
        <w:rPr>
          <w:rFonts w:eastAsia="楷体_GB2312"/>
          <w:color w:val="000000"/>
          <w:sz w:val="24"/>
        </w:rPr>
        <w:t>签收确认函；</w:t>
      </w:r>
      <w:bookmarkStart w:id="678" w:name="_Toc51259016"/>
      <w:bookmarkEnd w:id="678"/>
    </w:p>
    <w:p w14:paraId="65CAD075">
      <w:pPr>
        <w:tabs>
          <w:tab w:val="left" w:pos="1800"/>
          <w:tab w:val="left" w:pos="1980"/>
        </w:tabs>
        <w:spacing w:line="380" w:lineRule="atLeast"/>
        <w:ind w:left="1080"/>
        <w:rPr>
          <w:rFonts w:eastAsia="楷体_GB2312"/>
          <w:color w:val="000000"/>
          <w:sz w:val="24"/>
        </w:rPr>
      </w:pPr>
      <w:bookmarkStart w:id="679" w:name="_Toc51259017"/>
      <w:bookmarkEnd w:id="679"/>
    </w:p>
    <w:p w14:paraId="30ABFDF5">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在</w:t>
      </w:r>
      <w:r>
        <w:rPr>
          <w:rFonts w:eastAsia="楷体_GB2312"/>
          <w:sz w:val="24"/>
        </w:rPr>
        <w:t>“</w:t>
      </w:r>
      <w:r>
        <w:rPr>
          <w:rFonts w:eastAsia="楷体_GB2312"/>
          <w:color w:val="000000"/>
          <w:sz w:val="24"/>
        </w:rPr>
        <w:t>信托财产交付日</w:t>
      </w:r>
      <w:r>
        <w:rPr>
          <w:rFonts w:eastAsia="楷体_GB2312"/>
          <w:sz w:val="24"/>
        </w:rPr>
        <w:t>”，“</w:t>
      </w:r>
      <w:r>
        <w:rPr>
          <w:rFonts w:eastAsia="楷体_GB2312"/>
          <w:color w:val="000000"/>
          <w:sz w:val="24"/>
        </w:rPr>
        <w:t>委托人</w:t>
      </w:r>
      <w:r>
        <w:rPr>
          <w:rFonts w:eastAsia="楷体_GB2312"/>
          <w:sz w:val="24"/>
        </w:rPr>
        <w:t>”按照本合同第</w:t>
      </w:r>
      <w:r>
        <w:rPr>
          <w:rFonts w:eastAsia="楷体_GB2312"/>
          <w:sz w:val="24"/>
        </w:rPr>
        <w:fldChar w:fldCharType="begin"/>
      </w:r>
      <w:r>
        <w:rPr>
          <w:rFonts w:eastAsia="楷体_GB2312"/>
          <w:sz w:val="24"/>
        </w:rPr>
        <w:instrText xml:space="preserve"> REF _Ref51924231 \r \h </w:instrText>
      </w:r>
      <w:r>
        <w:rPr>
          <w:rFonts w:eastAsia="楷体_GB2312"/>
          <w:sz w:val="24"/>
        </w:rPr>
        <w:fldChar w:fldCharType="separate"/>
      </w:r>
      <w:r>
        <w:rPr>
          <w:rFonts w:eastAsia="楷体_GB2312"/>
          <w:sz w:val="24"/>
        </w:rPr>
        <w:t>3.9.4</w:t>
      </w:r>
      <w:r>
        <w:rPr>
          <w:rFonts w:eastAsia="楷体_GB2312"/>
          <w:sz w:val="24"/>
        </w:rPr>
        <w:fldChar w:fldCharType="end"/>
      </w:r>
      <w:r>
        <w:rPr>
          <w:rFonts w:eastAsia="楷体_GB2312"/>
          <w:color w:val="000000"/>
          <w:sz w:val="24"/>
        </w:rPr>
        <w:t>款将自“初始起算日”</w:t>
      </w:r>
      <w:r>
        <w:rPr>
          <w:rFonts w:eastAsia="楷体_GB2312"/>
          <w:sz w:val="24"/>
        </w:rPr>
        <w:t>（含该日）</w:t>
      </w:r>
      <w:r>
        <w:rPr>
          <w:rFonts w:eastAsia="楷体_GB2312"/>
          <w:color w:val="000000"/>
          <w:sz w:val="24"/>
        </w:rPr>
        <w:t>至“信托财产交付日”（不含该日）收到的所有“回收款”划转入“信托账户”。</w:t>
      </w:r>
      <w:bookmarkStart w:id="680" w:name="_Toc51259018"/>
      <w:bookmarkEnd w:id="680"/>
      <w:r>
        <w:rPr>
          <w:rFonts w:eastAsia="楷体_GB2312"/>
          <w:b/>
          <w:bCs/>
          <w:i/>
          <w:iCs/>
          <w:color w:val="FF0000"/>
          <w:sz w:val="24"/>
        </w:rPr>
        <w:t>【注：如“过渡期”“回收款”在第一个“回收款转付日”转付，则该条删除。】</w:t>
      </w:r>
    </w:p>
    <w:p w14:paraId="513A7798">
      <w:pPr>
        <w:spacing w:line="380" w:lineRule="atLeast"/>
        <w:rPr>
          <w:rFonts w:eastAsia="楷体_GB2312"/>
          <w:b/>
          <w:color w:val="000000"/>
          <w:sz w:val="24"/>
        </w:rPr>
      </w:pPr>
      <w:bookmarkStart w:id="681" w:name="_Toc51259019"/>
      <w:bookmarkEnd w:id="681"/>
    </w:p>
    <w:p w14:paraId="4B0AE905">
      <w:pPr>
        <w:numPr>
          <w:ilvl w:val="1"/>
          <w:numId w:val="4"/>
        </w:numPr>
        <w:spacing w:line="380" w:lineRule="atLeast"/>
        <w:outlineLvl w:val="1"/>
        <w:rPr>
          <w:rFonts w:eastAsia="楷体_GB2312"/>
          <w:b/>
          <w:sz w:val="24"/>
        </w:rPr>
      </w:pPr>
      <w:bookmarkStart w:id="682" w:name="_Toc110153475"/>
      <w:bookmarkStart w:id="683" w:name="_Toc111281851"/>
      <w:r>
        <w:rPr>
          <w:rFonts w:eastAsia="楷体_GB2312"/>
          <w:b/>
          <w:sz w:val="24"/>
        </w:rPr>
        <w:t>信托</w:t>
      </w:r>
      <w:bookmarkStart w:id="684" w:name="_Toc92612957"/>
      <w:r>
        <w:rPr>
          <w:rFonts w:eastAsia="楷体_GB2312"/>
          <w:b/>
          <w:sz w:val="24"/>
        </w:rPr>
        <w:t>变更</w:t>
      </w:r>
      <w:bookmarkEnd w:id="682"/>
      <w:bookmarkEnd w:id="683"/>
      <w:bookmarkStart w:id="685" w:name="_Toc51259020"/>
      <w:bookmarkEnd w:id="685"/>
    </w:p>
    <w:p w14:paraId="7C9A46BF">
      <w:pPr>
        <w:spacing w:line="380" w:lineRule="atLeast"/>
        <w:rPr>
          <w:rFonts w:eastAsia="楷体_GB2312"/>
          <w:b/>
          <w:sz w:val="24"/>
        </w:rPr>
      </w:pPr>
      <w:bookmarkStart w:id="686" w:name="_Toc51259021"/>
      <w:bookmarkEnd w:id="686"/>
    </w:p>
    <w:bookmarkEnd w:id="684"/>
    <w:p w14:paraId="4598F6BC">
      <w:pPr>
        <w:spacing w:line="380" w:lineRule="atLeast"/>
        <w:ind w:left="992"/>
        <w:rPr>
          <w:rFonts w:eastAsia="楷体_GB2312"/>
          <w:sz w:val="24"/>
        </w:rPr>
      </w:pPr>
      <w:r>
        <w:rPr>
          <w:rFonts w:eastAsia="楷体_GB2312"/>
          <w:sz w:val="24"/>
        </w:rPr>
        <w:t>“信托”生效后，除本合同另有约定或“中国法律”另有规定的以外，“委托人”、“受托人”以及“受益人”任何一方不得擅自变更、撤销、解除或终止“信托”。</w:t>
      </w:r>
      <w:bookmarkStart w:id="687" w:name="_Toc51259022"/>
      <w:bookmarkEnd w:id="687"/>
    </w:p>
    <w:p w14:paraId="183E7320">
      <w:pPr>
        <w:tabs>
          <w:tab w:val="left" w:pos="1800"/>
          <w:tab w:val="left" w:pos="1980"/>
        </w:tabs>
        <w:spacing w:line="380" w:lineRule="atLeast"/>
        <w:rPr>
          <w:rFonts w:eastAsia="楷体_GB2312"/>
          <w:sz w:val="24"/>
        </w:rPr>
      </w:pPr>
      <w:bookmarkStart w:id="688" w:name="_Toc51259023"/>
      <w:bookmarkEnd w:id="688"/>
    </w:p>
    <w:p w14:paraId="2ED34A86">
      <w:pPr>
        <w:numPr>
          <w:ilvl w:val="1"/>
          <w:numId w:val="4"/>
        </w:numPr>
        <w:spacing w:line="380" w:lineRule="exact"/>
        <w:outlineLvl w:val="1"/>
        <w:rPr>
          <w:rFonts w:eastAsia="楷体_GB2312"/>
          <w:b/>
          <w:sz w:val="24"/>
        </w:rPr>
      </w:pPr>
      <w:bookmarkStart w:id="689" w:name="_Toc172736627"/>
      <w:bookmarkStart w:id="690" w:name="_Toc152168209"/>
      <w:bookmarkStart w:id="691" w:name="_Toc151554375"/>
      <w:bookmarkStart w:id="692" w:name="_Toc152168765"/>
      <w:bookmarkStart w:id="693" w:name="_Ref110219766"/>
      <w:r>
        <w:rPr>
          <w:rFonts w:eastAsia="楷体_GB2312"/>
          <w:b/>
          <w:sz w:val="24"/>
        </w:rPr>
        <w:t>信托的终止</w:t>
      </w:r>
      <w:bookmarkEnd w:id="689"/>
      <w:bookmarkEnd w:id="690"/>
      <w:bookmarkEnd w:id="691"/>
      <w:bookmarkEnd w:id="692"/>
      <w:bookmarkStart w:id="694" w:name="_Toc51259024"/>
      <w:bookmarkEnd w:id="694"/>
    </w:p>
    <w:p w14:paraId="7ADEBD7C">
      <w:pPr>
        <w:spacing w:line="380" w:lineRule="exact"/>
        <w:rPr>
          <w:rFonts w:eastAsia="楷体_GB2312"/>
          <w:b/>
          <w:sz w:val="24"/>
        </w:rPr>
      </w:pPr>
      <w:bookmarkStart w:id="695" w:name="_Toc51259025"/>
      <w:bookmarkEnd w:id="695"/>
    </w:p>
    <w:p w14:paraId="4E1830D6">
      <w:pPr>
        <w:spacing w:line="380" w:lineRule="atLeast"/>
        <w:ind w:left="992"/>
        <w:rPr>
          <w:rFonts w:eastAsia="楷体_GB2312"/>
          <w:sz w:val="24"/>
        </w:rPr>
      </w:pPr>
      <w:r>
        <w:rPr>
          <w:rFonts w:eastAsia="楷体_GB2312"/>
          <w:sz w:val="24"/>
        </w:rPr>
        <w:t>发生下列情形之一时，“信托”终止：</w:t>
      </w:r>
      <w:bookmarkStart w:id="696" w:name="_Toc51259026"/>
      <w:bookmarkEnd w:id="696"/>
    </w:p>
    <w:p w14:paraId="11166613">
      <w:pPr>
        <w:tabs>
          <w:tab w:val="left" w:pos="1800"/>
          <w:tab w:val="left" w:pos="1980"/>
        </w:tabs>
        <w:spacing w:line="380" w:lineRule="exact"/>
        <w:rPr>
          <w:rFonts w:eastAsia="楷体_GB2312"/>
          <w:b/>
          <w:color w:val="000000"/>
          <w:sz w:val="24"/>
        </w:rPr>
      </w:pPr>
      <w:bookmarkStart w:id="697" w:name="_Toc51259027"/>
      <w:bookmarkEnd w:id="697"/>
    </w:p>
    <w:p w14:paraId="2356A2B2">
      <w:pPr>
        <w:numPr>
          <w:ilvl w:val="2"/>
          <w:numId w:val="4"/>
        </w:numPr>
        <w:spacing w:line="380" w:lineRule="exact"/>
        <w:rPr>
          <w:rFonts w:eastAsia="楷体_GB2312"/>
          <w:color w:val="000000"/>
          <w:sz w:val="24"/>
        </w:rPr>
      </w:pPr>
      <w:r>
        <w:rPr>
          <w:rFonts w:eastAsia="楷体_GB2312"/>
          <w:color w:val="000000"/>
          <w:sz w:val="24"/>
        </w:rPr>
        <w:t>“信托”目的已经不能实现；</w:t>
      </w:r>
      <w:bookmarkStart w:id="698" w:name="_Toc51259028"/>
      <w:bookmarkEnd w:id="698"/>
    </w:p>
    <w:p w14:paraId="4DAC5E8E">
      <w:pPr>
        <w:tabs>
          <w:tab w:val="left" w:pos="1800"/>
          <w:tab w:val="left" w:pos="1980"/>
        </w:tabs>
        <w:spacing w:line="380" w:lineRule="exact"/>
        <w:ind w:left="851"/>
        <w:rPr>
          <w:rFonts w:eastAsia="楷体_GB2312"/>
          <w:color w:val="000000"/>
          <w:sz w:val="24"/>
        </w:rPr>
      </w:pPr>
      <w:bookmarkStart w:id="699" w:name="_Toc51259029"/>
      <w:bookmarkEnd w:id="699"/>
    </w:p>
    <w:p w14:paraId="68B449E5">
      <w:pPr>
        <w:numPr>
          <w:ilvl w:val="2"/>
          <w:numId w:val="4"/>
        </w:numPr>
        <w:spacing w:line="380" w:lineRule="exact"/>
        <w:rPr>
          <w:rFonts w:eastAsia="楷体_GB2312"/>
          <w:color w:val="000000"/>
          <w:sz w:val="24"/>
        </w:rPr>
      </w:pPr>
      <w:r>
        <w:rPr>
          <w:rFonts w:eastAsia="楷体_GB2312"/>
          <w:sz w:val="24"/>
        </w:rPr>
        <w:t>“信托”被法院或仲裁机构依法撤销、被认定为无效或被判决终止</w:t>
      </w:r>
      <w:r>
        <w:rPr>
          <w:rFonts w:eastAsia="楷体_GB2312"/>
          <w:color w:val="000000"/>
          <w:sz w:val="24"/>
        </w:rPr>
        <w:t>；</w:t>
      </w:r>
      <w:bookmarkStart w:id="700" w:name="_Toc51259030"/>
      <w:bookmarkEnd w:id="700"/>
    </w:p>
    <w:p w14:paraId="6783CE00">
      <w:pPr>
        <w:tabs>
          <w:tab w:val="left" w:pos="1800"/>
          <w:tab w:val="left" w:pos="1980"/>
        </w:tabs>
        <w:spacing w:line="380" w:lineRule="exact"/>
        <w:ind w:left="851"/>
        <w:rPr>
          <w:rFonts w:eastAsia="楷体_GB2312"/>
          <w:color w:val="000000"/>
          <w:sz w:val="24"/>
        </w:rPr>
      </w:pPr>
      <w:bookmarkStart w:id="701" w:name="_Toc51259031"/>
      <w:bookmarkEnd w:id="701"/>
    </w:p>
    <w:p w14:paraId="4682C0D9">
      <w:pPr>
        <w:numPr>
          <w:ilvl w:val="2"/>
          <w:numId w:val="4"/>
        </w:numPr>
        <w:spacing w:line="380" w:lineRule="exact"/>
        <w:rPr>
          <w:rFonts w:eastAsia="楷体_GB2312"/>
          <w:color w:val="000000"/>
          <w:sz w:val="24"/>
        </w:rPr>
      </w:pPr>
      <w:r>
        <w:rPr>
          <w:rFonts w:eastAsia="楷体_GB2312"/>
          <w:sz w:val="24"/>
        </w:rPr>
        <w:t>“金融监管总局”或“监管部门”依法</w:t>
      </w:r>
      <w:r>
        <w:rPr>
          <w:rFonts w:eastAsia="楷体_GB2312"/>
          <w:color w:val="000000"/>
          <w:sz w:val="24"/>
        </w:rPr>
        <w:t>命令“信托”终止；</w:t>
      </w:r>
      <w:bookmarkStart w:id="702" w:name="_Toc51259032"/>
      <w:bookmarkEnd w:id="702"/>
    </w:p>
    <w:p w14:paraId="212D1F6C">
      <w:pPr>
        <w:tabs>
          <w:tab w:val="left" w:pos="1800"/>
          <w:tab w:val="left" w:pos="1980"/>
        </w:tabs>
        <w:spacing w:line="380" w:lineRule="exact"/>
        <w:ind w:left="851"/>
        <w:rPr>
          <w:rFonts w:eastAsia="楷体_GB2312"/>
          <w:color w:val="000000"/>
          <w:sz w:val="24"/>
        </w:rPr>
      </w:pPr>
      <w:bookmarkStart w:id="703" w:name="_Toc51259033"/>
      <w:bookmarkEnd w:id="703"/>
    </w:p>
    <w:p w14:paraId="5B1B3CDD">
      <w:pPr>
        <w:numPr>
          <w:ilvl w:val="2"/>
          <w:numId w:val="4"/>
        </w:numPr>
        <w:spacing w:line="380" w:lineRule="exact"/>
        <w:rPr>
          <w:rFonts w:eastAsia="楷体_GB2312"/>
          <w:color w:val="000000"/>
          <w:sz w:val="24"/>
        </w:rPr>
      </w:pPr>
      <w:r>
        <w:rPr>
          <w:rFonts w:eastAsia="楷体_GB2312"/>
          <w:sz w:val="24"/>
        </w:rPr>
        <w:t>“</w:t>
      </w:r>
      <w:r>
        <w:rPr>
          <w:rFonts w:eastAsia="楷体_GB2312"/>
          <w:color w:val="000000"/>
          <w:sz w:val="24"/>
        </w:rPr>
        <w:t>资产支持证券持有人大会</w:t>
      </w:r>
      <w:r>
        <w:rPr>
          <w:rFonts w:eastAsia="楷体_GB2312"/>
          <w:sz w:val="24"/>
        </w:rPr>
        <w:t>”</w:t>
      </w:r>
      <w:r>
        <w:rPr>
          <w:rFonts w:eastAsia="楷体_GB2312"/>
          <w:color w:val="000000"/>
          <w:sz w:val="24"/>
        </w:rPr>
        <w:t>决议提前终止“信托”；</w:t>
      </w:r>
      <w:bookmarkStart w:id="704" w:name="_Toc51259034"/>
      <w:bookmarkEnd w:id="704"/>
    </w:p>
    <w:p w14:paraId="3EFAC0D4">
      <w:pPr>
        <w:tabs>
          <w:tab w:val="left" w:pos="1800"/>
          <w:tab w:val="left" w:pos="1980"/>
        </w:tabs>
        <w:spacing w:line="380" w:lineRule="exact"/>
        <w:ind w:left="851"/>
        <w:rPr>
          <w:rFonts w:eastAsia="楷体_GB2312"/>
          <w:color w:val="000000"/>
          <w:sz w:val="24"/>
        </w:rPr>
      </w:pPr>
      <w:bookmarkStart w:id="705" w:name="_Toc51259035"/>
      <w:bookmarkEnd w:id="705"/>
    </w:p>
    <w:p w14:paraId="34C456FD">
      <w:pPr>
        <w:numPr>
          <w:ilvl w:val="2"/>
          <w:numId w:val="4"/>
        </w:numPr>
        <w:spacing w:line="380" w:lineRule="exact"/>
        <w:rPr>
          <w:rFonts w:eastAsia="楷体_GB2312"/>
          <w:color w:val="000000"/>
          <w:sz w:val="24"/>
        </w:rPr>
      </w:pPr>
      <w:r>
        <w:rPr>
          <w:rFonts w:eastAsia="楷体_GB2312"/>
          <w:color w:val="000000"/>
          <w:sz w:val="24"/>
        </w:rPr>
        <w:t>“法定到期日”届至；</w:t>
      </w:r>
      <w:bookmarkStart w:id="706" w:name="_Toc51259036"/>
      <w:bookmarkEnd w:id="706"/>
    </w:p>
    <w:p w14:paraId="6B49F6CF">
      <w:pPr>
        <w:pStyle w:val="78"/>
        <w:ind w:firstLine="480"/>
        <w:rPr>
          <w:rFonts w:eastAsia="楷体_GB2312"/>
          <w:color w:val="000000"/>
          <w:sz w:val="24"/>
        </w:rPr>
      </w:pPr>
    </w:p>
    <w:p w14:paraId="0F8E474F">
      <w:pPr>
        <w:numPr>
          <w:ilvl w:val="2"/>
          <w:numId w:val="4"/>
        </w:numPr>
        <w:tabs>
          <w:tab w:val="left" w:pos="900"/>
        </w:tabs>
        <w:spacing w:line="380" w:lineRule="atLeast"/>
        <w:ind w:left="1620" w:hanging="769"/>
        <w:rPr>
          <w:rFonts w:eastAsia="楷体_GB2312"/>
          <w:color w:val="000000"/>
          <w:sz w:val="24"/>
        </w:rPr>
      </w:pPr>
      <w:bookmarkStart w:id="707" w:name="_Toc51259037"/>
      <w:bookmarkEnd w:id="707"/>
      <w:bookmarkStart w:id="708" w:name="_Ref122640155"/>
      <w:r>
        <w:rPr>
          <w:rFonts w:eastAsia="楷体_GB2312"/>
          <w:color w:val="000000"/>
          <w:sz w:val="24"/>
        </w:rPr>
        <w:t>“受托人”根据“资产池”的“回收款”情况预测“回收款”按照“《信托合同》”约定的现金流分配顺序分配后足以支付或已经足额支付全部“优先级资产支持证券”本息，如届时“贷款服务机构”同时为唯一“次级资产支持证券持有人”，且同意“信托财产”进行原状分配并书面通知“受托人”（格式参见本合同【</w:t>
      </w:r>
      <w:r>
        <w:rPr>
          <w:rFonts w:eastAsia="楷体_GB2312"/>
          <w:b/>
          <w:i/>
          <w:iCs/>
          <w:color w:val="000000"/>
          <w:sz w:val="24"/>
        </w:rPr>
        <w:t>附件十二</w:t>
      </w:r>
      <w:r>
        <w:rPr>
          <w:rFonts w:eastAsia="楷体_GB2312"/>
          <w:color w:val="000000"/>
          <w:sz w:val="24"/>
        </w:rPr>
        <w:t>】）</w:t>
      </w:r>
      <w:r>
        <w:rPr>
          <w:rFonts w:hint="eastAsia" w:eastAsia="楷体_GB2312"/>
          <w:b/>
          <w:bCs/>
          <w:i/>
          <w:iCs/>
          <w:color w:val="FF0000"/>
          <w:sz w:val="24"/>
        </w:rPr>
        <w:t>【</w:t>
      </w:r>
      <w:r>
        <w:rPr>
          <w:rFonts w:eastAsia="楷体_GB2312"/>
          <w:b/>
          <w:bCs/>
          <w:i/>
          <w:iCs/>
          <w:color w:val="FF0000"/>
          <w:sz w:val="24"/>
        </w:rPr>
        <w:t>注：适用于次级资产支持证券全部由委托人自持的情形</w:t>
      </w:r>
      <w:r>
        <w:rPr>
          <w:rFonts w:hint="eastAsia" w:eastAsia="楷体_GB2312"/>
          <w:b/>
          <w:bCs/>
          <w:i/>
          <w:iCs/>
          <w:color w:val="FF0000"/>
          <w:sz w:val="24"/>
        </w:rPr>
        <w:t>】</w:t>
      </w:r>
      <w:r>
        <w:rPr>
          <w:rFonts w:eastAsia="楷体_GB2312"/>
          <w:color w:val="000000"/>
          <w:sz w:val="24"/>
        </w:rPr>
        <w:t>/全部“优先级资产支持证券”的本息全部偿付完毕后，如届时“贷款服务机构”同时为“次级资产支持证券持有人”，且全部“次级资产支持证券持有人”就剩余全部“信托财产”的原状分配达成书面一致意见并书面通知“受托人”</w:t>
      </w:r>
      <w:r>
        <w:rPr>
          <w:rFonts w:hint="eastAsia" w:eastAsia="楷体_GB2312"/>
          <w:b/>
          <w:bCs/>
          <w:i/>
          <w:iCs/>
          <w:color w:val="FF0000"/>
          <w:sz w:val="24"/>
        </w:rPr>
        <w:t>【</w:t>
      </w:r>
      <w:r>
        <w:rPr>
          <w:rFonts w:eastAsia="楷体_GB2312"/>
          <w:b/>
          <w:bCs/>
          <w:i/>
          <w:iCs/>
          <w:color w:val="FF0000"/>
          <w:sz w:val="24"/>
        </w:rPr>
        <w:t>注：适用于次级资产支持证券对外销售的情形</w:t>
      </w:r>
      <w:r>
        <w:rPr>
          <w:rFonts w:hint="eastAsia" w:eastAsia="楷体_GB2312"/>
          <w:b/>
          <w:bCs/>
          <w:i/>
          <w:iCs/>
          <w:color w:val="FF0000"/>
          <w:sz w:val="24"/>
        </w:rPr>
        <w:t>】</w:t>
      </w:r>
      <w:r>
        <w:rPr>
          <w:rFonts w:eastAsia="楷体_GB2312"/>
          <w:color w:val="000000"/>
          <w:sz w:val="24"/>
        </w:rPr>
        <w:t>；</w:t>
      </w:r>
      <w:bookmarkEnd w:id="708"/>
    </w:p>
    <w:p w14:paraId="60524896">
      <w:pPr>
        <w:spacing w:line="380" w:lineRule="exact"/>
        <w:ind w:left="1418"/>
        <w:rPr>
          <w:rFonts w:eastAsia="楷体_GB2312"/>
          <w:color w:val="000000"/>
          <w:sz w:val="24"/>
        </w:rPr>
      </w:pPr>
    </w:p>
    <w:p w14:paraId="4FB786BF">
      <w:pPr>
        <w:numPr>
          <w:ilvl w:val="2"/>
          <w:numId w:val="4"/>
        </w:numPr>
        <w:tabs>
          <w:tab w:val="left" w:pos="900"/>
        </w:tabs>
        <w:spacing w:line="380" w:lineRule="atLeast"/>
        <w:ind w:left="1620" w:hanging="769"/>
        <w:rPr>
          <w:rFonts w:eastAsia="楷体_GB2312"/>
          <w:color w:val="000000"/>
          <w:sz w:val="24"/>
        </w:rPr>
      </w:pPr>
      <w:r>
        <w:rPr>
          <w:rFonts w:eastAsia="楷体_GB2312"/>
          <w:color w:val="000000"/>
          <w:sz w:val="24"/>
        </w:rPr>
        <w:t>“信托财产”</w:t>
      </w:r>
      <w:r>
        <w:rPr>
          <w:rFonts w:eastAsia="楷体_GB2312"/>
          <w:bCs/>
          <w:sz w:val="24"/>
        </w:rPr>
        <w:t>（不含“合格投资”）</w:t>
      </w:r>
      <w:r>
        <w:rPr>
          <w:rFonts w:eastAsia="楷体_GB2312"/>
          <w:color w:val="000000"/>
          <w:sz w:val="24"/>
        </w:rPr>
        <w:t>全部变现完毕（含“清仓回购价格”支付完毕）。</w:t>
      </w:r>
      <w:bookmarkStart w:id="709" w:name="_Toc51259038"/>
      <w:bookmarkEnd w:id="709"/>
    </w:p>
    <w:p w14:paraId="4EB92893">
      <w:pPr>
        <w:spacing w:line="360" w:lineRule="auto"/>
        <w:ind w:left="1560"/>
        <w:rPr>
          <w:rFonts w:eastAsia="楷体_GB2312"/>
          <w:b/>
          <w:bCs/>
          <w:i/>
          <w:iCs/>
          <w:color w:val="FF0000"/>
          <w:kern w:val="2"/>
          <w:sz w:val="24"/>
          <w:szCs w:val="24"/>
        </w:rPr>
      </w:pPr>
      <w:bookmarkStart w:id="710" w:name="_Toc51259039"/>
      <w:bookmarkEnd w:id="710"/>
      <w:r>
        <w:rPr>
          <w:rFonts w:eastAsia="楷体_GB2312"/>
          <w:b/>
          <w:bCs/>
          <w:i/>
          <w:iCs/>
          <w:color w:val="FF0000"/>
          <w:kern w:val="2"/>
          <w:sz w:val="24"/>
          <w:szCs w:val="24"/>
        </w:rPr>
        <w:t>【注：信托终止事由可根据项目情况进行调整。】</w:t>
      </w:r>
    </w:p>
    <w:p w14:paraId="30566B6A">
      <w:pPr>
        <w:tabs>
          <w:tab w:val="left" w:pos="1800"/>
          <w:tab w:val="left" w:pos="1980"/>
        </w:tabs>
        <w:spacing w:line="380" w:lineRule="exact"/>
        <w:ind w:left="851"/>
        <w:rPr>
          <w:rFonts w:eastAsia="楷体_GB2312"/>
          <w:color w:val="000000"/>
          <w:sz w:val="24"/>
        </w:rPr>
      </w:pPr>
    </w:p>
    <w:p w14:paraId="7E639D71">
      <w:pPr>
        <w:numPr>
          <w:ilvl w:val="1"/>
          <w:numId w:val="4"/>
        </w:numPr>
        <w:tabs>
          <w:tab w:val="left" w:pos="1800"/>
          <w:tab w:val="left" w:pos="1980"/>
        </w:tabs>
        <w:spacing w:line="380" w:lineRule="exact"/>
        <w:outlineLvl w:val="1"/>
        <w:rPr>
          <w:rFonts w:eastAsia="楷体_GB2312"/>
          <w:b/>
          <w:color w:val="000000"/>
          <w:sz w:val="24"/>
        </w:rPr>
      </w:pPr>
      <w:bookmarkStart w:id="711" w:name="_Toc171305123"/>
      <w:r>
        <w:rPr>
          <w:rFonts w:eastAsia="楷体_GB2312"/>
          <w:b/>
          <w:color w:val="000000"/>
          <w:sz w:val="24"/>
        </w:rPr>
        <w:t>信托期限</w:t>
      </w:r>
      <w:bookmarkEnd w:id="711"/>
      <w:bookmarkStart w:id="712" w:name="_Toc51259040"/>
      <w:bookmarkEnd w:id="712"/>
    </w:p>
    <w:p w14:paraId="4E9BF362">
      <w:pPr>
        <w:tabs>
          <w:tab w:val="left" w:pos="1800"/>
          <w:tab w:val="left" w:pos="1980"/>
        </w:tabs>
        <w:spacing w:line="380" w:lineRule="atLeast"/>
        <w:rPr>
          <w:rFonts w:eastAsia="楷体_GB2312"/>
          <w:color w:val="000000"/>
          <w:sz w:val="24"/>
        </w:rPr>
      </w:pPr>
      <w:bookmarkStart w:id="713" w:name="_Toc51259041"/>
      <w:bookmarkEnd w:id="713"/>
    </w:p>
    <w:p w14:paraId="4FD4CFD7">
      <w:pPr>
        <w:spacing w:line="380" w:lineRule="exact"/>
        <w:ind w:left="944" w:leftChars="472"/>
        <w:rPr>
          <w:rFonts w:eastAsia="楷体_GB2312"/>
          <w:color w:val="000000"/>
          <w:sz w:val="24"/>
        </w:rPr>
      </w:pPr>
      <w:r>
        <w:rPr>
          <w:rFonts w:eastAsia="楷体_GB2312"/>
          <w:sz w:val="24"/>
        </w:rPr>
        <w:t>“</w:t>
      </w:r>
      <w:r>
        <w:rPr>
          <w:rFonts w:eastAsia="楷体_GB2312"/>
          <w:color w:val="000000"/>
          <w:sz w:val="24"/>
        </w:rPr>
        <w:t>信托</w:t>
      </w:r>
      <w:r>
        <w:rPr>
          <w:rFonts w:eastAsia="楷体_GB2312"/>
          <w:sz w:val="24"/>
        </w:rPr>
        <w:t>”</w:t>
      </w:r>
      <w:r>
        <w:rPr>
          <w:rFonts w:eastAsia="楷体_GB2312"/>
          <w:color w:val="000000"/>
          <w:sz w:val="24"/>
        </w:rPr>
        <w:t>的</w:t>
      </w:r>
      <w:r>
        <w:rPr>
          <w:rFonts w:eastAsia="楷体_GB2312"/>
          <w:sz w:val="24"/>
        </w:rPr>
        <w:t>“</w:t>
      </w:r>
      <w:r>
        <w:rPr>
          <w:rFonts w:eastAsia="楷体_GB2312"/>
          <w:color w:val="000000"/>
          <w:sz w:val="24"/>
        </w:rPr>
        <w:t>信托期限</w:t>
      </w:r>
      <w:r>
        <w:rPr>
          <w:rFonts w:eastAsia="楷体_GB2312"/>
          <w:sz w:val="24"/>
        </w:rPr>
        <w:t>”</w:t>
      </w:r>
      <w:r>
        <w:rPr>
          <w:rFonts w:eastAsia="楷体_GB2312"/>
          <w:color w:val="000000"/>
          <w:sz w:val="24"/>
        </w:rPr>
        <w:t>自</w:t>
      </w:r>
      <w:r>
        <w:rPr>
          <w:rFonts w:eastAsia="楷体_GB2312"/>
          <w:sz w:val="24"/>
        </w:rPr>
        <w:t>“</w:t>
      </w:r>
      <w:r>
        <w:rPr>
          <w:rFonts w:eastAsia="楷体_GB2312"/>
          <w:color w:val="000000"/>
          <w:sz w:val="24"/>
        </w:rPr>
        <w:t>信托生效日</w:t>
      </w:r>
      <w:r>
        <w:rPr>
          <w:rFonts w:eastAsia="楷体_GB2312"/>
          <w:sz w:val="24"/>
        </w:rPr>
        <w:t>”</w:t>
      </w:r>
      <w:r>
        <w:rPr>
          <w:rFonts w:eastAsia="楷体_GB2312"/>
          <w:color w:val="000000"/>
          <w:sz w:val="24"/>
        </w:rPr>
        <w:t>（含该日）起至</w:t>
      </w:r>
      <w:r>
        <w:rPr>
          <w:rFonts w:eastAsia="楷体_GB2312"/>
          <w:sz w:val="24"/>
        </w:rPr>
        <w:t>“信托终止日”（含该日）</w:t>
      </w:r>
      <w:r>
        <w:rPr>
          <w:rFonts w:eastAsia="楷体_GB2312"/>
          <w:color w:val="000000"/>
          <w:sz w:val="24"/>
        </w:rPr>
        <w:t>止。</w:t>
      </w:r>
      <w:bookmarkStart w:id="714" w:name="_Toc51259042"/>
      <w:bookmarkEnd w:id="714"/>
    </w:p>
    <w:p w14:paraId="323651C2">
      <w:pPr>
        <w:spacing w:line="380" w:lineRule="exact"/>
        <w:rPr>
          <w:rFonts w:eastAsia="楷体_GB2312"/>
          <w:b/>
          <w:sz w:val="24"/>
        </w:rPr>
      </w:pPr>
      <w:bookmarkStart w:id="715" w:name="_Toc51259043"/>
      <w:bookmarkEnd w:id="715"/>
    </w:p>
    <w:p w14:paraId="68EB5378">
      <w:pPr>
        <w:numPr>
          <w:ilvl w:val="0"/>
          <w:numId w:val="4"/>
        </w:numPr>
        <w:tabs>
          <w:tab w:val="left" w:pos="1800"/>
          <w:tab w:val="left" w:pos="1980"/>
        </w:tabs>
        <w:spacing w:line="380" w:lineRule="exact"/>
        <w:outlineLvl w:val="0"/>
        <w:rPr>
          <w:rFonts w:eastAsia="楷体_GB2312"/>
          <w:sz w:val="24"/>
        </w:rPr>
      </w:pPr>
      <w:bookmarkStart w:id="716" w:name="_Toc32651"/>
      <w:bookmarkStart w:id="717" w:name="_Toc172736628"/>
      <w:bookmarkStart w:id="718" w:name="_Toc152168211"/>
      <w:bookmarkStart w:id="719" w:name="_Toc373951564"/>
      <w:bookmarkStart w:id="720" w:name="_Toc51277233"/>
      <w:bookmarkStart w:id="721" w:name="_Toc151554378"/>
      <w:bookmarkStart w:id="722" w:name="_Toc152168767"/>
      <w:r>
        <w:rPr>
          <w:rFonts w:eastAsia="楷体_GB2312"/>
          <w:b/>
          <w:sz w:val="24"/>
        </w:rPr>
        <w:t>信托的清算</w:t>
      </w:r>
      <w:bookmarkEnd w:id="716"/>
      <w:bookmarkEnd w:id="717"/>
      <w:bookmarkEnd w:id="718"/>
      <w:bookmarkEnd w:id="719"/>
      <w:bookmarkEnd w:id="720"/>
      <w:bookmarkEnd w:id="721"/>
      <w:bookmarkEnd w:id="722"/>
      <w:bookmarkStart w:id="723" w:name="_Toc51259044"/>
      <w:bookmarkEnd w:id="723"/>
    </w:p>
    <w:p w14:paraId="26EE1430">
      <w:pPr>
        <w:pStyle w:val="78"/>
        <w:spacing w:line="360" w:lineRule="auto"/>
        <w:ind w:left="425" w:firstLine="0" w:firstLineChars="0"/>
        <w:rPr>
          <w:rFonts w:eastAsia="楷体_GB2312"/>
          <w:color w:val="000000"/>
          <w:sz w:val="24"/>
        </w:rPr>
      </w:pPr>
      <w:bookmarkStart w:id="724" w:name="_Toc51259045"/>
      <w:bookmarkEnd w:id="724"/>
      <w:bookmarkStart w:id="725" w:name="_Hlk61514858"/>
      <w:r>
        <w:rPr>
          <w:rFonts w:eastAsia="楷体_GB2312"/>
          <w:b/>
          <w:bCs/>
          <w:i/>
          <w:iCs/>
          <w:color w:val="FF0000"/>
          <w:sz w:val="24"/>
        </w:rPr>
        <w:t>【注：清算程序和清算规则，可在法律允许范围内根据具体项目各方协商结果进行调整。】</w:t>
      </w:r>
      <w:bookmarkEnd w:id="725"/>
    </w:p>
    <w:p w14:paraId="16893701">
      <w:pPr>
        <w:tabs>
          <w:tab w:val="left" w:pos="1800"/>
          <w:tab w:val="left" w:pos="1980"/>
        </w:tabs>
        <w:spacing w:line="380" w:lineRule="exact"/>
        <w:rPr>
          <w:rFonts w:eastAsia="楷体_GB2312"/>
          <w:sz w:val="24"/>
        </w:rPr>
      </w:pPr>
    </w:p>
    <w:p w14:paraId="290FD25E">
      <w:pPr>
        <w:numPr>
          <w:ilvl w:val="1"/>
          <w:numId w:val="4"/>
        </w:numPr>
        <w:spacing w:line="380" w:lineRule="atLeast"/>
        <w:outlineLvl w:val="1"/>
        <w:rPr>
          <w:rFonts w:eastAsia="楷体_GB2312"/>
          <w:b/>
          <w:sz w:val="24"/>
        </w:rPr>
      </w:pPr>
      <w:bookmarkStart w:id="726" w:name="_Toc172736629"/>
      <w:bookmarkStart w:id="727" w:name="_Toc171305125"/>
      <w:bookmarkStart w:id="728" w:name="_Toc169937661"/>
      <w:bookmarkStart w:id="729" w:name="_Toc152168212"/>
      <w:bookmarkStart w:id="730" w:name="_Toc152168768"/>
      <w:bookmarkStart w:id="731" w:name="_Toc151554379"/>
      <w:r>
        <w:rPr>
          <w:rFonts w:eastAsia="楷体_GB2312"/>
          <w:b/>
          <w:sz w:val="24"/>
        </w:rPr>
        <w:t>信托</w:t>
      </w:r>
      <w:r>
        <w:rPr>
          <w:rFonts w:eastAsia="楷体_GB2312"/>
          <w:b/>
          <w:color w:val="000000"/>
          <w:sz w:val="24"/>
        </w:rPr>
        <w:t>财产</w:t>
      </w:r>
      <w:r>
        <w:rPr>
          <w:rFonts w:eastAsia="楷体_GB2312"/>
          <w:b/>
          <w:sz w:val="24"/>
        </w:rPr>
        <w:t>的清算</w:t>
      </w:r>
      <w:bookmarkEnd w:id="726"/>
      <w:bookmarkEnd w:id="727"/>
      <w:bookmarkStart w:id="732" w:name="_Toc51259046"/>
      <w:bookmarkEnd w:id="732"/>
    </w:p>
    <w:p w14:paraId="5F06320B">
      <w:pPr>
        <w:spacing w:line="380" w:lineRule="atLeast"/>
        <w:ind w:left="425"/>
        <w:rPr>
          <w:rFonts w:eastAsia="楷体_GB2312"/>
          <w:b/>
          <w:sz w:val="24"/>
        </w:rPr>
      </w:pPr>
      <w:bookmarkStart w:id="733" w:name="_Toc51259047"/>
      <w:bookmarkEnd w:id="733"/>
    </w:p>
    <w:p w14:paraId="0BBABE4B">
      <w:pPr>
        <w:numPr>
          <w:ilvl w:val="2"/>
          <w:numId w:val="4"/>
        </w:numPr>
        <w:tabs>
          <w:tab w:val="left" w:pos="900"/>
        </w:tabs>
        <w:spacing w:line="380" w:lineRule="atLeast"/>
        <w:ind w:left="1620" w:hanging="769"/>
        <w:rPr>
          <w:rFonts w:eastAsia="楷体_GB2312"/>
          <w:b/>
          <w:sz w:val="24"/>
        </w:rPr>
      </w:pPr>
      <w:r>
        <w:rPr>
          <w:rFonts w:eastAsia="楷体_GB2312"/>
          <w:sz w:val="24"/>
        </w:rPr>
        <w:t>“信托”终止后，“受托人”应对“信托财产”进行清算：</w:t>
      </w:r>
      <w:r>
        <w:rPr>
          <w:rFonts w:hint="eastAsia" w:eastAsia="楷体_GB2312"/>
          <w:sz w:val="24"/>
        </w:rPr>
        <w:t>(</w:t>
      </w:r>
      <w:r>
        <w:rPr>
          <w:rFonts w:eastAsia="楷体_GB2312"/>
          <w:sz w:val="24"/>
        </w:rPr>
        <w:t>1</w:t>
      </w:r>
      <w:r>
        <w:rPr>
          <w:rFonts w:hint="eastAsia" w:eastAsia="楷体_GB2312"/>
          <w:sz w:val="24"/>
        </w:rPr>
        <w:t>)</w:t>
      </w:r>
      <w:r>
        <w:rPr>
          <w:rFonts w:eastAsia="楷体_GB2312"/>
          <w:sz w:val="24"/>
        </w:rPr>
        <w:t>清算“合格投资”；</w:t>
      </w:r>
      <w:r>
        <w:rPr>
          <w:rFonts w:hint="eastAsia" w:eastAsia="楷体_GB2312"/>
          <w:sz w:val="24"/>
        </w:rPr>
        <w:t>(</w:t>
      </w:r>
      <w:r>
        <w:rPr>
          <w:rFonts w:eastAsia="楷体_GB2312"/>
          <w:sz w:val="24"/>
        </w:rPr>
        <w:t>2</w:t>
      </w:r>
      <w:r>
        <w:rPr>
          <w:rFonts w:hint="eastAsia" w:eastAsia="楷体_GB2312"/>
          <w:sz w:val="24"/>
        </w:rPr>
        <w:t>)</w:t>
      </w:r>
      <w:r>
        <w:rPr>
          <w:rFonts w:eastAsia="楷体_GB2312"/>
          <w:sz w:val="24"/>
        </w:rPr>
        <w:t>按本合同第</w:t>
      </w:r>
      <w:r>
        <w:rPr>
          <w:rFonts w:eastAsia="楷体_GB2312"/>
        </w:rPr>
        <w:fldChar w:fldCharType="begin"/>
      </w:r>
      <w:r>
        <w:rPr>
          <w:rFonts w:eastAsia="楷体_GB2312"/>
        </w:rPr>
        <w:instrText xml:space="preserve"> REF _Ref170806054 \r \h  \* MERGEFORMAT </w:instrText>
      </w:r>
      <w:r>
        <w:rPr>
          <w:rFonts w:eastAsia="楷体_GB2312"/>
        </w:rPr>
        <w:fldChar w:fldCharType="separate"/>
      </w:r>
      <w:r>
        <w:rPr>
          <w:rFonts w:eastAsia="楷体_GB2312"/>
          <w:sz w:val="24"/>
        </w:rPr>
        <w:t>23.2</w:t>
      </w:r>
      <w:r>
        <w:rPr>
          <w:rFonts w:eastAsia="楷体_GB2312"/>
        </w:rPr>
        <w:fldChar w:fldCharType="end"/>
      </w:r>
      <w:r>
        <w:rPr>
          <w:rFonts w:eastAsia="楷体_GB2312"/>
          <w:sz w:val="24"/>
        </w:rPr>
        <w:t>款进行清算除现金、存款及“合格投资”以外的“信托财产”（“非现金信托财产”）。但是，在“资产支持证券持有人大会”就“信托财产”的清算方案尚未形成决议之前，“受托人”仍应继续按照本合同及其他“交易文件”约定的方式管理、处分和运用“信托财产”。</w:t>
      </w:r>
      <w:bookmarkStart w:id="734" w:name="_Toc51259048"/>
      <w:bookmarkEnd w:id="734"/>
    </w:p>
    <w:p w14:paraId="1623051C">
      <w:pPr>
        <w:tabs>
          <w:tab w:val="left" w:pos="1800"/>
          <w:tab w:val="left" w:pos="1980"/>
        </w:tabs>
        <w:spacing w:line="380" w:lineRule="atLeast"/>
        <w:ind w:left="851"/>
        <w:rPr>
          <w:rFonts w:eastAsia="楷体_GB2312"/>
          <w:b/>
          <w:sz w:val="24"/>
        </w:rPr>
      </w:pPr>
      <w:bookmarkStart w:id="735" w:name="_Toc51259049"/>
      <w:bookmarkEnd w:id="735"/>
    </w:p>
    <w:p w14:paraId="5887D00C">
      <w:pPr>
        <w:numPr>
          <w:ilvl w:val="2"/>
          <w:numId w:val="4"/>
        </w:numPr>
        <w:tabs>
          <w:tab w:val="left" w:pos="900"/>
        </w:tabs>
        <w:spacing w:line="380" w:lineRule="atLeast"/>
        <w:ind w:left="1620" w:hanging="769"/>
        <w:rPr>
          <w:rFonts w:eastAsia="楷体_GB2312"/>
          <w:b/>
          <w:sz w:val="24"/>
        </w:rPr>
      </w:pPr>
      <w:r>
        <w:rPr>
          <w:rFonts w:eastAsia="楷体_GB2312"/>
          <w:sz w:val="24"/>
        </w:rPr>
        <w:t>“受托人”应于“信托”终止后【】日内将“信托财产”清算完毕，但“资产支持证券持有人大会”作出的决议另有规定的除外。</w:t>
      </w:r>
      <w:bookmarkStart w:id="736" w:name="_Toc51259050"/>
      <w:bookmarkEnd w:id="736"/>
    </w:p>
    <w:p w14:paraId="6D454422">
      <w:pPr>
        <w:pStyle w:val="78"/>
        <w:ind w:firstLine="482"/>
        <w:rPr>
          <w:rFonts w:eastAsia="楷体_GB2312"/>
          <w:b/>
          <w:sz w:val="24"/>
        </w:rPr>
      </w:pPr>
    </w:p>
    <w:p w14:paraId="1553BC26">
      <w:pPr>
        <w:numPr>
          <w:ilvl w:val="2"/>
          <w:numId w:val="4"/>
        </w:numPr>
        <w:tabs>
          <w:tab w:val="left" w:pos="900"/>
        </w:tabs>
        <w:spacing w:line="380" w:lineRule="atLeast"/>
        <w:ind w:left="1620" w:hanging="769"/>
        <w:rPr>
          <w:rFonts w:eastAsia="楷体_GB2312"/>
          <w:b/>
          <w:sz w:val="24"/>
        </w:rPr>
      </w:pPr>
      <w:bookmarkStart w:id="737" w:name="_Toc51259051"/>
      <w:bookmarkEnd w:id="737"/>
      <w:r>
        <w:rPr>
          <w:rFonts w:eastAsia="楷体_GB2312"/>
          <w:sz w:val="24"/>
        </w:rPr>
        <w:t>如“信托”系根据本合同第</w:t>
      </w:r>
      <w:r>
        <w:rPr>
          <w:rFonts w:eastAsia="楷体_GB2312"/>
          <w:sz w:val="24"/>
        </w:rPr>
        <w:fldChar w:fldCharType="begin"/>
      </w:r>
      <w:r>
        <w:rPr>
          <w:rFonts w:eastAsia="楷体_GB2312"/>
          <w:sz w:val="24"/>
        </w:rPr>
        <w:instrText xml:space="preserve"> REF _Ref122640155 \r \h  \* MERGEFORMAT </w:instrText>
      </w:r>
      <w:r>
        <w:rPr>
          <w:rFonts w:eastAsia="楷体_GB2312"/>
          <w:sz w:val="24"/>
        </w:rPr>
        <w:fldChar w:fldCharType="separate"/>
      </w:r>
      <w:r>
        <w:rPr>
          <w:rFonts w:eastAsia="楷体_GB2312"/>
          <w:sz w:val="24"/>
        </w:rPr>
        <w:t>22.3.6</w:t>
      </w:r>
      <w:r>
        <w:rPr>
          <w:rFonts w:eastAsia="楷体_GB2312"/>
          <w:sz w:val="24"/>
        </w:rPr>
        <w:fldChar w:fldCharType="end"/>
      </w:r>
      <w:r>
        <w:rPr>
          <w:rFonts w:eastAsia="楷体_GB2312"/>
          <w:sz w:val="24"/>
        </w:rPr>
        <w:t>款终止的，则“受托人”应按照唯一/全体“次级资产支持证券持有人”届时通知的原状分配方案原状分配相应的剩余“信托财产”。</w:t>
      </w:r>
    </w:p>
    <w:p w14:paraId="4865B194">
      <w:pPr>
        <w:spacing w:line="380" w:lineRule="exact"/>
        <w:ind w:left="1418"/>
        <w:rPr>
          <w:rFonts w:eastAsia="楷体_GB2312"/>
          <w:b/>
          <w:sz w:val="24"/>
        </w:rPr>
      </w:pPr>
    </w:p>
    <w:p w14:paraId="005A6851">
      <w:pPr>
        <w:numPr>
          <w:ilvl w:val="1"/>
          <w:numId w:val="4"/>
        </w:numPr>
        <w:spacing w:line="380" w:lineRule="atLeast"/>
        <w:outlineLvl w:val="1"/>
        <w:rPr>
          <w:rFonts w:eastAsia="楷体_GB2312"/>
          <w:b/>
          <w:sz w:val="24"/>
        </w:rPr>
      </w:pPr>
      <w:bookmarkStart w:id="738" w:name="_Toc171305126"/>
      <w:bookmarkStart w:id="739" w:name="_Ref170806054"/>
      <w:bookmarkStart w:id="740" w:name="_Toc172736630"/>
      <w:r>
        <w:rPr>
          <w:rFonts w:eastAsia="楷体_GB2312"/>
          <w:b/>
          <w:sz w:val="24"/>
        </w:rPr>
        <w:t>非现金信托财产的清算</w:t>
      </w:r>
      <w:bookmarkEnd w:id="728"/>
      <w:bookmarkEnd w:id="738"/>
      <w:bookmarkEnd w:id="739"/>
      <w:bookmarkEnd w:id="740"/>
      <w:bookmarkStart w:id="741" w:name="_Toc51259052"/>
      <w:bookmarkEnd w:id="741"/>
    </w:p>
    <w:p w14:paraId="27608DF8">
      <w:pPr>
        <w:spacing w:before="156" w:beforeLines="50" w:after="156" w:afterLines="50" w:line="240" w:lineRule="atLeast"/>
        <w:ind w:left="850" w:leftChars="425"/>
        <w:rPr>
          <w:rFonts w:eastAsia="楷体_GB2312"/>
          <w:b/>
          <w:bCs/>
          <w:i/>
          <w:iCs/>
          <w:color w:val="FF0000"/>
          <w:sz w:val="24"/>
          <w:szCs w:val="36"/>
        </w:rPr>
      </w:pPr>
      <w:bookmarkStart w:id="742" w:name="_Toc51259053"/>
      <w:bookmarkEnd w:id="742"/>
      <w:r>
        <w:rPr>
          <w:rFonts w:eastAsia="楷体_GB2312"/>
          <w:b/>
          <w:bCs/>
          <w:i/>
          <w:iCs/>
          <w:color w:val="FF0000"/>
          <w:sz w:val="24"/>
          <w:szCs w:val="36"/>
        </w:rPr>
        <w:t>【注：非现金信托财产的清算安排可视项目情况调整。】</w:t>
      </w:r>
    </w:p>
    <w:p w14:paraId="3E3332D2">
      <w:pPr>
        <w:spacing w:line="380" w:lineRule="exact"/>
        <w:ind w:left="1418"/>
        <w:rPr>
          <w:rFonts w:eastAsia="楷体_GB2312"/>
          <w:b/>
          <w:bCs/>
          <w:i/>
          <w:iCs/>
          <w:color w:val="FF0000"/>
          <w:sz w:val="24"/>
          <w:szCs w:val="24"/>
        </w:rPr>
      </w:pPr>
    </w:p>
    <w:p w14:paraId="4D316E57">
      <w:pPr>
        <w:numPr>
          <w:ilvl w:val="2"/>
          <w:numId w:val="4"/>
        </w:numPr>
        <w:tabs>
          <w:tab w:val="left" w:pos="900"/>
        </w:tabs>
        <w:spacing w:line="380" w:lineRule="atLeast"/>
        <w:ind w:left="1620" w:hanging="769"/>
        <w:rPr>
          <w:rFonts w:eastAsia="楷体_GB2312"/>
          <w:sz w:val="24"/>
        </w:rPr>
      </w:pPr>
      <w:r>
        <w:rPr>
          <w:rFonts w:eastAsia="楷体_GB2312"/>
          <w:sz w:val="24"/>
        </w:rPr>
        <w:t>“信托”终止后若存在“非现金信托财产”，除非届时全部“优先级资产支持证券”本息已偿付完毕且“贷款服务机构”同时为唯一“次级资产支持证券持有人”且同意“信托财产”进行原状分配并书面通知“受托人”</w:t>
      </w:r>
      <w:r>
        <w:rPr>
          <w:rFonts w:hint="eastAsia" w:eastAsia="楷体_GB2312"/>
          <w:b/>
          <w:bCs/>
          <w:i/>
          <w:iCs/>
          <w:color w:val="FF0000"/>
          <w:sz w:val="24"/>
        </w:rPr>
        <w:t>【</w:t>
      </w:r>
      <w:r>
        <w:rPr>
          <w:rFonts w:eastAsia="楷体_GB2312"/>
          <w:b/>
          <w:bCs/>
          <w:i/>
          <w:iCs/>
          <w:color w:val="FF0000"/>
          <w:sz w:val="24"/>
        </w:rPr>
        <w:t>注：适用于次级资产支持证券全部由委托人自持的情形</w:t>
      </w:r>
      <w:r>
        <w:rPr>
          <w:rFonts w:hint="eastAsia" w:eastAsia="楷体_GB2312"/>
          <w:b/>
          <w:bCs/>
          <w:i/>
          <w:iCs/>
          <w:color w:val="FF0000"/>
          <w:sz w:val="24"/>
        </w:rPr>
        <w:t>】</w:t>
      </w:r>
      <w:r>
        <w:rPr>
          <w:rFonts w:eastAsia="楷体_GB2312"/>
          <w:sz w:val="24"/>
        </w:rPr>
        <w:t>/“贷款服务机构”同时为“次级资产支持证券持有人”且全体“次级资产支持证券持有人”就剩余全部“信托财产”的原状分配达成书面一致意见并书面通知“受托人”</w:t>
      </w:r>
      <w:r>
        <w:rPr>
          <w:rFonts w:hint="eastAsia" w:eastAsia="楷体_GB2312"/>
          <w:b/>
          <w:bCs/>
          <w:i/>
          <w:iCs/>
          <w:color w:val="FF0000"/>
          <w:sz w:val="24"/>
        </w:rPr>
        <w:t>【</w:t>
      </w:r>
      <w:r>
        <w:rPr>
          <w:rFonts w:eastAsia="楷体_GB2312"/>
          <w:b/>
          <w:bCs/>
          <w:i/>
          <w:iCs/>
          <w:color w:val="FF0000"/>
          <w:sz w:val="24"/>
        </w:rPr>
        <w:t>注：次级资产支持证券对外销售的情形</w:t>
      </w:r>
      <w:r>
        <w:rPr>
          <w:rFonts w:hint="eastAsia" w:eastAsia="楷体_GB2312"/>
          <w:b/>
          <w:bCs/>
          <w:i/>
          <w:iCs/>
          <w:color w:val="FF0000"/>
          <w:sz w:val="24"/>
        </w:rPr>
        <w:t>】</w:t>
      </w:r>
      <w:r>
        <w:rPr>
          <w:rFonts w:eastAsia="楷体_GB2312"/>
          <w:sz w:val="24"/>
        </w:rPr>
        <w:t>，否则“受托人”应及时制订“非现金信托财产”（如有）的清算方案（下称“清算方案”），并于“信托”终止后【】日内按照本合同第</w:t>
      </w:r>
      <w:r>
        <w:rPr>
          <w:rFonts w:eastAsia="楷体_GB2312"/>
        </w:rPr>
        <w:fldChar w:fldCharType="begin"/>
      </w:r>
      <w:r>
        <w:rPr>
          <w:rFonts w:eastAsia="楷体_GB2312"/>
        </w:rPr>
        <w:instrText xml:space="preserve"> REF _Ref173768296 \r \h  \* MERGEFORMAT </w:instrText>
      </w:r>
      <w:r>
        <w:rPr>
          <w:rFonts w:eastAsia="楷体_GB2312"/>
        </w:rPr>
        <w:fldChar w:fldCharType="separate"/>
      </w:r>
      <w:r>
        <w:rPr>
          <w:rFonts w:eastAsia="楷体_GB2312"/>
          <w:sz w:val="24"/>
        </w:rPr>
        <w:t>18</w:t>
      </w:r>
      <w:r>
        <w:rPr>
          <w:rFonts w:eastAsia="楷体_GB2312"/>
        </w:rPr>
        <w:fldChar w:fldCharType="end"/>
      </w:r>
      <w:r>
        <w:rPr>
          <w:rFonts w:eastAsia="楷体_GB2312"/>
          <w:sz w:val="24"/>
        </w:rPr>
        <w:t>条的约定召开“资产支持证券持有人大会”，由“资产支持证券持有人大会”就是否认可“清算方案”作出决议。</w:t>
      </w:r>
      <w:bookmarkStart w:id="743" w:name="_Toc51259054"/>
      <w:bookmarkEnd w:id="743"/>
    </w:p>
    <w:p w14:paraId="7C62E774">
      <w:pPr>
        <w:tabs>
          <w:tab w:val="left" w:pos="1800"/>
          <w:tab w:val="left" w:pos="1980"/>
        </w:tabs>
        <w:spacing w:line="380" w:lineRule="atLeast"/>
        <w:ind w:left="851"/>
        <w:rPr>
          <w:rFonts w:eastAsia="楷体_GB2312"/>
          <w:sz w:val="24"/>
        </w:rPr>
      </w:pPr>
      <w:bookmarkStart w:id="744" w:name="_Toc51259055"/>
      <w:bookmarkEnd w:id="744"/>
    </w:p>
    <w:p w14:paraId="795643E6">
      <w:pPr>
        <w:numPr>
          <w:ilvl w:val="2"/>
          <w:numId w:val="4"/>
        </w:numPr>
        <w:tabs>
          <w:tab w:val="left" w:pos="900"/>
        </w:tabs>
        <w:spacing w:line="380" w:lineRule="atLeast"/>
        <w:ind w:left="1620" w:hanging="769"/>
        <w:rPr>
          <w:rFonts w:eastAsia="楷体_GB2312"/>
          <w:sz w:val="24"/>
        </w:rPr>
      </w:pPr>
      <w:r>
        <w:rPr>
          <w:rFonts w:eastAsia="楷体_GB2312"/>
          <w:sz w:val="24"/>
        </w:rPr>
        <w:t>“资产支持证券持有人大会”就“清算方案”形成有效决议的，“受托人”应当按照“资产支持证券持有人大会”认可的“清算方案”清算“非现金信托财产”；“资产支持证券持有人大会”未能就“清算方案”形成有效决议的，除非“资产支持证券持有人大会”另有约定，在“中国法律”允许的前提下，“受托人”有权依法以包括但不限于公开出售、转让等方式处分、清算“非现金信托财产”，全体“资产支持证券持有人”及“委托人”对“受托人”的处理方式及结果表示认可。</w:t>
      </w:r>
      <w:bookmarkStart w:id="745" w:name="_Toc51259056"/>
      <w:bookmarkEnd w:id="745"/>
    </w:p>
    <w:bookmarkEnd w:id="729"/>
    <w:bookmarkEnd w:id="730"/>
    <w:bookmarkEnd w:id="731"/>
    <w:p w14:paraId="7D77CB02">
      <w:pPr>
        <w:spacing w:line="360" w:lineRule="auto"/>
        <w:ind w:left="-2" w:leftChars="-1" w:firstLine="1419" w:firstLineChars="589"/>
        <w:rPr>
          <w:rFonts w:eastAsia="楷体_GB2312"/>
          <w:b/>
          <w:bCs/>
          <w:i/>
          <w:iCs/>
          <w:color w:val="FF0000"/>
          <w:kern w:val="2"/>
          <w:sz w:val="24"/>
          <w:szCs w:val="24"/>
        </w:rPr>
      </w:pPr>
      <w:bookmarkStart w:id="746" w:name="_Toc51259057"/>
      <w:bookmarkEnd w:id="746"/>
      <w:r>
        <w:rPr>
          <w:rFonts w:eastAsia="楷体_GB2312"/>
          <w:b/>
          <w:bCs/>
          <w:i/>
          <w:iCs/>
          <w:color w:val="FF0000"/>
          <w:kern w:val="2"/>
          <w:sz w:val="24"/>
          <w:szCs w:val="24"/>
        </w:rPr>
        <w:t>【注：非现金信托财产的清算方案，可根据项目实际情况进行调整。】</w:t>
      </w:r>
    </w:p>
    <w:p w14:paraId="77B400B0">
      <w:pPr>
        <w:tabs>
          <w:tab w:val="left" w:pos="1800"/>
          <w:tab w:val="left" w:pos="1980"/>
        </w:tabs>
        <w:spacing w:line="380" w:lineRule="exact"/>
        <w:ind w:left="425"/>
        <w:rPr>
          <w:rFonts w:eastAsia="楷体_GB2312"/>
          <w:sz w:val="24"/>
        </w:rPr>
      </w:pPr>
    </w:p>
    <w:p w14:paraId="4F8B4E9B">
      <w:pPr>
        <w:numPr>
          <w:ilvl w:val="1"/>
          <w:numId w:val="4"/>
        </w:numPr>
        <w:tabs>
          <w:tab w:val="left" w:pos="1800"/>
          <w:tab w:val="left" w:pos="1980"/>
        </w:tabs>
        <w:spacing w:line="380" w:lineRule="exact"/>
        <w:outlineLvl w:val="1"/>
        <w:rPr>
          <w:rFonts w:eastAsia="楷体_GB2312"/>
          <w:sz w:val="24"/>
        </w:rPr>
      </w:pPr>
      <w:bookmarkStart w:id="747" w:name="_Toc152168769"/>
      <w:bookmarkStart w:id="748" w:name="_Toc151554380"/>
      <w:bookmarkStart w:id="749" w:name="_Toc152168213"/>
      <w:bookmarkStart w:id="750" w:name="_Toc172736631"/>
      <w:r>
        <w:rPr>
          <w:rFonts w:eastAsia="楷体_GB2312"/>
          <w:b/>
          <w:sz w:val="24"/>
        </w:rPr>
        <w:t>信托财产</w:t>
      </w:r>
      <w:bookmarkEnd w:id="747"/>
      <w:bookmarkEnd w:id="748"/>
      <w:bookmarkEnd w:id="749"/>
      <w:r>
        <w:rPr>
          <w:rFonts w:eastAsia="楷体_GB2312"/>
          <w:b/>
          <w:sz w:val="24"/>
        </w:rPr>
        <w:t>的分配</w:t>
      </w:r>
      <w:bookmarkEnd w:id="750"/>
      <w:bookmarkStart w:id="751" w:name="_Toc51259058"/>
      <w:bookmarkEnd w:id="751"/>
    </w:p>
    <w:p w14:paraId="2E537517">
      <w:pPr>
        <w:spacing w:line="380" w:lineRule="exact"/>
        <w:rPr>
          <w:rFonts w:eastAsia="楷体_GB2312"/>
          <w:b/>
          <w:sz w:val="24"/>
        </w:rPr>
      </w:pPr>
      <w:bookmarkStart w:id="752" w:name="_Toc51259059"/>
      <w:bookmarkEnd w:id="752"/>
    </w:p>
    <w:p w14:paraId="52BFB298">
      <w:pPr>
        <w:spacing w:line="380" w:lineRule="atLeast"/>
        <w:ind w:left="992"/>
        <w:rPr>
          <w:rFonts w:eastAsia="楷体_GB2312"/>
          <w:sz w:val="24"/>
        </w:rPr>
      </w:pPr>
      <w:r>
        <w:rPr>
          <w:rFonts w:eastAsia="楷体_GB2312"/>
          <w:sz w:val="24"/>
        </w:rPr>
        <w:t>“信托”终止后，“信托财产”按照本合同第</w:t>
      </w:r>
      <w:r>
        <w:rPr>
          <w:rFonts w:eastAsia="楷体_GB2312"/>
          <w:sz w:val="24"/>
        </w:rPr>
        <w:fldChar w:fldCharType="begin"/>
      </w:r>
      <w:r>
        <w:rPr>
          <w:rFonts w:eastAsia="楷体_GB2312"/>
          <w:sz w:val="24"/>
        </w:rPr>
        <w:instrText xml:space="preserve"> REF _Ref51239192 \r \h  \* MERGEFORMAT </w:instrText>
      </w:r>
      <w:r>
        <w:rPr>
          <w:rFonts w:eastAsia="楷体_GB2312"/>
          <w:sz w:val="24"/>
        </w:rPr>
        <w:fldChar w:fldCharType="separate"/>
      </w:r>
      <w:r>
        <w:rPr>
          <w:rFonts w:eastAsia="楷体_GB2312"/>
          <w:sz w:val="24"/>
        </w:rPr>
        <w:t>10.8</w:t>
      </w:r>
      <w:r>
        <w:rPr>
          <w:rFonts w:eastAsia="楷体_GB2312"/>
          <w:sz w:val="24"/>
        </w:rPr>
        <w:fldChar w:fldCharType="end"/>
      </w:r>
      <w:r>
        <w:rPr>
          <w:rFonts w:eastAsia="楷体_GB2312"/>
          <w:sz w:val="24"/>
        </w:rPr>
        <w:t>款约定的顺序进行分配。</w:t>
      </w:r>
      <w:bookmarkStart w:id="753" w:name="_Toc51259060"/>
      <w:bookmarkEnd w:id="753"/>
    </w:p>
    <w:p w14:paraId="1F3356C0">
      <w:pPr>
        <w:spacing w:line="380" w:lineRule="exact"/>
        <w:rPr>
          <w:rFonts w:eastAsia="楷体_GB2312"/>
          <w:bCs/>
          <w:color w:val="008000"/>
          <w:sz w:val="24"/>
        </w:rPr>
      </w:pPr>
      <w:bookmarkStart w:id="754" w:name="_Toc51259061"/>
      <w:bookmarkEnd w:id="754"/>
    </w:p>
    <w:p w14:paraId="0F93BBF3">
      <w:pPr>
        <w:numPr>
          <w:ilvl w:val="1"/>
          <w:numId w:val="4"/>
        </w:numPr>
        <w:tabs>
          <w:tab w:val="left" w:pos="1800"/>
          <w:tab w:val="left" w:pos="1980"/>
        </w:tabs>
        <w:spacing w:line="380" w:lineRule="exact"/>
        <w:outlineLvl w:val="1"/>
        <w:rPr>
          <w:rFonts w:eastAsia="楷体_GB2312"/>
          <w:b/>
          <w:sz w:val="24"/>
        </w:rPr>
      </w:pPr>
      <w:bookmarkStart w:id="755" w:name="_Toc152168770"/>
      <w:bookmarkStart w:id="756" w:name="_Toc152168214"/>
      <w:bookmarkStart w:id="757" w:name="_Toc151554381"/>
      <w:bookmarkStart w:id="758" w:name="_Toc172736632"/>
      <w:r>
        <w:rPr>
          <w:rFonts w:eastAsia="楷体_GB2312"/>
          <w:b/>
          <w:sz w:val="24"/>
        </w:rPr>
        <w:t>信托清算报告</w:t>
      </w:r>
      <w:bookmarkEnd w:id="755"/>
      <w:bookmarkEnd w:id="756"/>
      <w:bookmarkEnd w:id="757"/>
      <w:bookmarkEnd w:id="758"/>
      <w:bookmarkStart w:id="759" w:name="_Toc51259062"/>
      <w:bookmarkEnd w:id="759"/>
    </w:p>
    <w:p w14:paraId="319E1599">
      <w:pPr>
        <w:spacing w:line="380" w:lineRule="exact"/>
        <w:rPr>
          <w:rFonts w:eastAsia="楷体_GB2312"/>
          <w:b/>
          <w:sz w:val="24"/>
        </w:rPr>
      </w:pPr>
      <w:bookmarkStart w:id="760" w:name="_Toc51259063"/>
      <w:bookmarkEnd w:id="760"/>
    </w:p>
    <w:p w14:paraId="18AF4A87">
      <w:pPr>
        <w:numPr>
          <w:ilvl w:val="2"/>
          <w:numId w:val="4"/>
        </w:numPr>
        <w:tabs>
          <w:tab w:val="left" w:pos="900"/>
        </w:tabs>
        <w:spacing w:line="380" w:lineRule="atLeast"/>
        <w:ind w:left="1620" w:hanging="769"/>
        <w:rPr>
          <w:rFonts w:eastAsia="楷体_GB2312"/>
          <w:b/>
          <w:sz w:val="24"/>
        </w:rPr>
      </w:pPr>
      <w:r>
        <w:rPr>
          <w:rFonts w:eastAsia="楷体_GB2312"/>
          <w:sz w:val="24"/>
        </w:rPr>
        <w:t>“受托人”应于“信托财产”清算完毕之日后【】日内依法出具信托清算报告，该信托清算报告应经“审计师”的审计。</w:t>
      </w:r>
      <w:bookmarkStart w:id="761" w:name="_Toc51259064"/>
      <w:bookmarkEnd w:id="761"/>
    </w:p>
    <w:p w14:paraId="17CADC83">
      <w:pPr>
        <w:tabs>
          <w:tab w:val="left" w:pos="1800"/>
          <w:tab w:val="left" w:pos="1980"/>
        </w:tabs>
        <w:spacing w:line="380" w:lineRule="atLeast"/>
        <w:ind w:left="851"/>
        <w:rPr>
          <w:rFonts w:eastAsia="楷体_GB2312"/>
          <w:b/>
          <w:sz w:val="24"/>
        </w:rPr>
      </w:pPr>
      <w:bookmarkStart w:id="762" w:name="_Toc51259065"/>
      <w:bookmarkEnd w:id="762"/>
    </w:p>
    <w:p w14:paraId="5C7A3B4B">
      <w:pPr>
        <w:numPr>
          <w:ilvl w:val="2"/>
          <w:numId w:val="4"/>
        </w:numPr>
        <w:tabs>
          <w:tab w:val="left" w:pos="900"/>
        </w:tabs>
        <w:spacing w:line="380" w:lineRule="atLeast"/>
        <w:ind w:left="1620" w:hanging="769"/>
        <w:rPr>
          <w:rFonts w:eastAsia="楷体_GB2312"/>
          <w:b/>
          <w:sz w:val="24"/>
        </w:rPr>
      </w:pPr>
      <w:r>
        <w:rPr>
          <w:rFonts w:eastAsia="楷体_GB2312"/>
          <w:sz w:val="24"/>
        </w:rPr>
        <w:t>“审计师”就信托清算报告出具审计报告后【】个“工作日”内，“受托人”应按照本合同第</w:t>
      </w:r>
      <w:r>
        <w:rPr>
          <w:rFonts w:eastAsia="楷体_GB2312"/>
        </w:rPr>
        <w:fldChar w:fldCharType="begin"/>
      </w:r>
      <w:r>
        <w:rPr>
          <w:rFonts w:eastAsia="楷体_GB2312"/>
        </w:rPr>
        <w:instrText xml:space="preserve"> REF _Ref173768358 \r \h  \* MERGEFORMAT </w:instrText>
      </w:r>
      <w:r>
        <w:rPr>
          <w:rFonts w:eastAsia="楷体_GB2312"/>
        </w:rPr>
        <w:fldChar w:fldCharType="separate"/>
      </w:r>
      <w:r>
        <w:rPr>
          <w:rFonts w:eastAsia="楷体_GB2312"/>
          <w:sz w:val="24"/>
        </w:rPr>
        <w:t>21</w:t>
      </w:r>
      <w:r>
        <w:rPr>
          <w:rFonts w:eastAsia="楷体_GB2312"/>
        </w:rPr>
        <w:fldChar w:fldCharType="end"/>
      </w:r>
      <w:r>
        <w:rPr>
          <w:rFonts w:eastAsia="楷体_GB2312"/>
          <w:sz w:val="24"/>
        </w:rPr>
        <w:t>条的约定披露经审计的信托清算报告，</w:t>
      </w:r>
      <w:r>
        <w:rPr>
          <w:rFonts w:eastAsia="楷体_GB2312"/>
          <w:color w:val="000000"/>
          <w:sz w:val="24"/>
        </w:rPr>
        <w:t>公告期为【】日</w:t>
      </w:r>
      <w:r>
        <w:rPr>
          <w:rFonts w:eastAsia="楷体_GB2312"/>
          <w:sz w:val="24"/>
        </w:rPr>
        <w:t>。</w:t>
      </w:r>
      <w:bookmarkStart w:id="763" w:name="_Toc51259066"/>
      <w:bookmarkEnd w:id="763"/>
    </w:p>
    <w:p w14:paraId="5841A4CE">
      <w:pPr>
        <w:tabs>
          <w:tab w:val="left" w:pos="1800"/>
          <w:tab w:val="left" w:pos="1980"/>
        </w:tabs>
        <w:spacing w:line="380" w:lineRule="atLeast"/>
        <w:rPr>
          <w:rFonts w:eastAsia="楷体_GB2312"/>
          <w:sz w:val="24"/>
        </w:rPr>
      </w:pPr>
      <w:bookmarkStart w:id="764" w:name="_Toc51259067"/>
      <w:bookmarkEnd w:id="764"/>
    </w:p>
    <w:p w14:paraId="695C56A3">
      <w:pPr>
        <w:numPr>
          <w:ilvl w:val="2"/>
          <w:numId w:val="4"/>
        </w:numPr>
        <w:tabs>
          <w:tab w:val="left" w:pos="900"/>
        </w:tabs>
        <w:spacing w:line="380" w:lineRule="atLeast"/>
        <w:ind w:left="1620" w:hanging="769"/>
        <w:rPr>
          <w:rFonts w:eastAsia="楷体_GB2312"/>
          <w:sz w:val="24"/>
        </w:rPr>
      </w:pPr>
      <w:r>
        <w:rPr>
          <w:rFonts w:eastAsia="楷体_GB2312"/>
          <w:sz w:val="24"/>
        </w:rPr>
        <w:t>信托清算报告公告期满，“信托终止日”</w:t>
      </w:r>
      <w:r>
        <w:rPr>
          <w:rFonts w:eastAsia="楷体_GB2312"/>
          <w:color w:val="000000"/>
          <w:sz w:val="24"/>
        </w:rPr>
        <w:t>“资产支持证券”未兑付完毕的</w:t>
      </w:r>
      <w:r>
        <w:rPr>
          <w:rFonts w:eastAsia="楷体_GB2312"/>
          <w:sz w:val="24"/>
        </w:rPr>
        <w:t>“资产支持证券持有人”未提出异议的，“信托”消灭，且“受托人”就信托清算报告所列事项解除责任，但因“受托机构”的不当行为、过失、欺诈和违约而引起的责任除外。</w:t>
      </w:r>
      <w:bookmarkStart w:id="765" w:name="_Toc51259068"/>
      <w:bookmarkEnd w:id="765"/>
    </w:p>
    <w:bookmarkEnd w:id="693"/>
    <w:p w14:paraId="1674A952">
      <w:pPr>
        <w:spacing w:line="380" w:lineRule="atLeast"/>
        <w:rPr>
          <w:rFonts w:eastAsia="楷体_GB2312"/>
          <w:b/>
          <w:sz w:val="24"/>
        </w:rPr>
      </w:pPr>
      <w:bookmarkStart w:id="766" w:name="_Toc150895755"/>
      <w:bookmarkEnd w:id="766"/>
      <w:bookmarkStart w:id="767" w:name="_Toc120277284"/>
      <w:bookmarkEnd w:id="767"/>
      <w:bookmarkStart w:id="768" w:name="_Toc120277373"/>
      <w:bookmarkEnd w:id="768"/>
      <w:bookmarkStart w:id="769" w:name="_Toc120277538"/>
      <w:bookmarkEnd w:id="769"/>
      <w:bookmarkStart w:id="770" w:name="_Toc120275203"/>
      <w:bookmarkEnd w:id="770"/>
      <w:bookmarkStart w:id="771" w:name="_Toc51259069"/>
      <w:bookmarkEnd w:id="771"/>
      <w:bookmarkStart w:id="772" w:name="_Toc120275202"/>
      <w:bookmarkEnd w:id="772"/>
      <w:bookmarkStart w:id="773" w:name="_Toc120277539"/>
      <w:bookmarkEnd w:id="773"/>
      <w:bookmarkStart w:id="774" w:name="_Toc120277285"/>
      <w:bookmarkEnd w:id="774"/>
      <w:bookmarkStart w:id="775" w:name="_Toc120276606"/>
      <w:bookmarkEnd w:id="775"/>
      <w:bookmarkStart w:id="776" w:name="_Toc120276605"/>
      <w:bookmarkEnd w:id="776"/>
      <w:bookmarkStart w:id="777" w:name="_Toc120277374"/>
      <w:bookmarkEnd w:id="777"/>
    </w:p>
    <w:p w14:paraId="14907D2B">
      <w:pPr>
        <w:numPr>
          <w:ilvl w:val="0"/>
          <w:numId w:val="4"/>
        </w:numPr>
        <w:spacing w:line="380" w:lineRule="atLeast"/>
        <w:outlineLvl w:val="0"/>
        <w:rPr>
          <w:rFonts w:eastAsia="楷体_GB2312"/>
          <w:b/>
          <w:sz w:val="24"/>
        </w:rPr>
      </w:pPr>
      <w:bookmarkStart w:id="778" w:name="_Toc51277234"/>
      <w:bookmarkStart w:id="779" w:name="_Toc110153479"/>
      <w:bookmarkStart w:id="780" w:name="_Toc111281854"/>
      <w:bookmarkStart w:id="781" w:name="_Toc373951565"/>
      <w:bookmarkStart w:id="782" w:name="_Toc1203"/>
      <w:r>
        <w:rPr>
          <w:rFonts w:eastAsia="楷体_GB2312"/>
          <w:b/>
          <w:sz w:val="24"/>
        </w:rPr>
        <w:t>保</w:t>
      </w:r>
      <w:bookmarkStart w:id="783" w:name="_Toc106417449"/>
      <w:bookmarkEnd w:id="783"/>
      <w:bookmarkStart w:id="784" w:name="_Toc106417447"/>
      <w:bookmarkEnd w:id="784"/>
      <w:bookmarkStart w:id="785" w:name="_Toc106417453"/>
      <w:bookmarkEnd w:id="785"/>
      <w:bookmarkStart w:id="786" w:name="_Toc106417448"/>
      <w:bookmarkEnd w:id="786"/>
      <w:bookmarkStart w:id="787" w:name="_Toc106417450"/>
      <w:bookmarkEnd w:id="787"/>
      <w:bookmarkStart w:id="788" w:name="_Toc106417451"/>
      <w:bookmarkEnd w:id="788"/>
      <w:r>
        <w:rPr>
          <w:rFonts w:eastAsia="楷体_GB2312"/>
          <w:b/>
          <w:sz w:val="24"/>
        </w:rPr>
        <w:t>密</w:t>
      </w:r>
      <w:bookmarkStart w:id="789" w:name="_Toc92612961"/>
      <w:r>
        <w:rPr>
          <w:rFonts w:eastAsia="楷体_GB2312"/>
          <w:b/>
          <w:sz w:val="24"/>
        </w:rPr>
        <w:t>条款</w:t>
      </w:r>
      <w:bookmarkEnd w:id="778"/>
      <w:bookmarkEnd w:id="779"/>
      <w:bookmarkEnd w:id="780"/>
      <w:bookmarkEnd w:id="781"/>
      <w:bookmarkEnd w:id="782"/>
    </w:p>
    <w:p w14:paraId="061E8DF3">
      <w:pPr>
        <w:spacing w:line="380" w:lineRule="atLeast"/>
        <w:rPr>
          <w:rFonts w:eastAsia="楷体_GB2312"/>
          <w:b/>
          <w:sz w:val="24"/>
        </w:rPr>
      </w:pPr>
    </w:p>
    <w:bookmarkEnd w:id="789"/>
    <w:p w14:paraId="5D386703">
      <w:pPr>
        <w:numPr>
          <w:ilvl w:val="1"/>
          <w:numId w:val="4"/>
        </w:numPr>
        <w:spacing w:line="380" w:lineRule="atLeast"/>
        <w:outlineLvl w:val="1"/>
        <w:rPr>
          <w:rFonts w:eastAsia="楷体_GB2312"/>
          <w:b/>
          <w:sz w:val="24"/>
        </w:rPr>
      </w:pPr>
      <w:bookmarkStart w:id="790" w:name="_Toc110153480"/>
      <w:bookmarkStart w:id="791" w:name="_Ref107894767"/>
      <w:r>
        <w:rPr>
          <w:rFonts w:eastAsia="楷体_GB2312"/>
          <w:b/>
          <w:sz w:val="24"/>
        </w:rPr>
        <w:t>保密</w:t>
      </w:r>
      <w:bookmarkStart w:id="792" w:name="_Toc92612962"/>
      <w:r>
        <w:rPr>
          <w:rFonts w:eastAsia="楷体_GB2312"/>
          <w:b/>
          <w:sz w:val="24"/>
        </w:rPr>
        <w:t>义务</w:t>
      </w:r>
      <w:bookmarkEnd w:id="790"/>
      <w:bookmarkEnd w:id="791"/>
    </w:p>
    <w:p w14:paraId="57D4BFB8">
      <w:pPr>
        <w:spacing w:line="380" w:lineRule="atLeast"/>
        <w:rPr>
          <w:rFonts w:eastAsia="楷体_GB2312"/>
          <w:b/>
          <w:sz w:val="24"/>
        </w:rPr>
      </w:pPr>
    </w:p>
    <w:p w14:paraId="17CBE9B0">
      <w:pPr>
        <w:spacing w:line="380" w:lineRule="atLeast"/>
        <w:ind w:left="856" w:leftChars="428"/>
        <w:rPr>
          <w:rFonts w:eastAsia="楷体_GB2312"/>
          <w:sz w:val="24"/>
        </w:rPr>
      </w:pPr>
      <w:r>
        <w:rPr>
          <w:rFonts w:eastAsia="楷体_GB2312"/>
          <w:sz w:val="24"/>
        </w:rPr>
        <w:t>“</w:t>
      </w:r>
      <w:r>
        <w:rPr>
          <w:rFonts w:eastAsia="楷体_GB2312"/>
          <w:bCs/>
          <w:sz w:val="24"/>
        </w:rPr>
        <w:t>委托人</w:t>
      </w:r>
      <w:r>
        <w:rPr>
          <w:rFonts w:eastAsia="楷体_GB2312"/>
          <w:sz w:val="24"/>
        </w:rPr>
        <w:t>”</w:t>
      </w:r>
      <w:r>
        <w:rPr>
          <w:rFonts w:eastAsia="楷体_GB2312"/>
          <w:bCs/>
          <w:sz w:val="24"/>
        </w:rPr>
        <w:t>、</w:t>
      </w:r>
      <w:r>
        <w:rPr>
          <w:rFonts w:eastAsia="楷体_GB2312"/>
          <w:sz w:val="24"/>
        </w:rPr>
        <w:t>“</w:t>
      </w:r>
      <w:r>
        <w:rPr>
          <w:rFonts w:eastAsia="楷体_GB2312"/>
          <w:bCs/>
          <w:sz w:val="24"/>
        </w:rPr>
        <w:t>受托</w:t>
      </w:r>
      <w:r>
        <w:rPr>
          <w:rFonts w:eastAsia="楷体_GB2312"/>
          <w:sz w:val="24"/>
        </w:rPr>
        <w:t>人”和“受益人”作为接受方于“信托”设立、管理、“信托利益”分配、“信托”终止清算等过程中所获得的其他方商业秘密以及其他未公开的信息，仅可由接受方为执行本合同需要披露给指定的第三方，并且仅在为执行本合同所需的范围内进行该等披露，但根据“中国法律”或“监管部门”要求应当进行披露的除外。同时，应由该等第三方做出至少与本合同保密义务一样严格的保密承诺等，以防止该等第三方为个人利益使用保密信息或向任何其他第三方做出未经授权的任何披露。在任何情形下，本条所约定的保密义务应永久持续有效。</w:t>
      </w:r>
    </w:p>
    <w:bookmarkEnd w:id="792"/>
    <w:p w14:paraId="04D0B160">
      <w:pPr>
        <w:spacing w:line="380" w:lineRule="atLeast"/>
        <w:rPr>
          <w:rFonts w:eastAsia="楷体_GB2312"/>
          <w:b/>
          <w:sz w:val="24"/>
        </w:rPr>
      </w:pPr>
      <w:bookmarkStart w:id="793" w:name="_Toc106417456"/>
      <w:bookmarkEnd w:id="793"/>
      <w:bookmarkStart w:id="794" w:name="_Toc106417457"/>
      <w:bookmarkEnd w:id="794"/>
    </w:p>
    <w:p w14:paraId="55315856">
      <w:pPr>
        <w:numPr>
          <w:ilvl w:val="1"/>
          <w:numId w:val="4"/>
        </w:numPr>
        <w:spacing w:line="380" w:lineRule="atLeast"/>
        <w:outlineLvl w:val="1"/>
        <w:rPr>
          <w:rFonts w:eastAsia="楷体_GB2312"/>
          <w:b/>
          <w:sz w:val="24"/>
        </w:rPr>
      </w:pPr>
      <w:bookmarkStart w:id="795" w:name="_Toc110153481"/>
      <w:r>
        <w:rPr>
          <w:rFonts w:eastAsia="楷体_GB2312"/>
          <w:b/>
          <w:sz w:val="24"/>
        </w:rPr>
        <w:t>违反</w:t>
      </w:r>
      <w:bookmarkStart w:id="796" w:name="_Toc92612963"/>
      <w:r>
        <w:rPr>
          <w:rFonts w:eastAsia="楷体_GB2312"/>
          <w:b/>
          <w:sz w:val="24"/>
        </w:rPr>
        <w:t>保密义务的赔偿责任</w:t>
      </w:r>
      <w:bookmarkEnd w:id="795"/>
    </w:p>
    <w:p w14:paraId="6116B860">
      <w:pPr>
        <w:spacing w:line="380" w:lineRule="atLeast"/>
        <w:rPr>
          <w:rFonts w:eastAsia="楷体_GB2312"/>
          <w:b/>
          <w:bCs/>
          <w:sz w:val="24"/>
        </w:rPr>
      </w:pPr>
    </w:p>
    <w:p w14:paraId="3FAC329C">
      <w:pPr>
        <w:spacing w:line="380" w:lineRule="atLeast"/>
        <w:ind w:left="944" w:leftChars="472"/>
        <w:rPr>
          <w:rFonts w:eastAsia="楷体_GB2312"/>
          <w:b/>
          <w:bCs/>
          <w:sz w:val="24"/>
        </w:rPr>
      </w:pPr>
      <w:r>
        <w:rPr>
          <w:rFonts w:eastAsia="楷体_GB2312"/>
          <w:bCs/>
          <w:sz w:val="24"/>
        </w:rPr>
        <w:t>任何一方违反第</w:t>
      </w:r>
      <w:r>
        <w:rPr>
          <w:rFonts w:eastAsia="楷体_GB2312"/>
        </w:rPr>
        <w:fldChar w:fldCharType="begin"/>
      </w:r>
      <w:r>
        <w:rPr>
          <w:rFonts w:eastAsia="楷体_GB2312"/>
        </w:rPr>
        <w:instrText xml:space="preserve"> REF _Ref107894767 \r \h  \* MERGEFORMAT </w:instrText>
      </w:r>
      <w:r>
        <w:rPr>
          <w:rFonts w:eastAsia="楷体_GB2312"/>
        </w:rPr>
        <w:fldChar w:fldCharType="separate"/>
      </w:r>
      <w:r>
        <w:rPr>
          <w:rFonts w:eastAsia="楷体_GB2312"/>
          <w:bCs/>
          <w:sz w:val="24"/>
        </w:rPr>
        <w:t>24.1</w:t>
      </w:r>
      <w:r>
        <w:rPr>
          <w:rFonts w:eastAsia="楷体_GB2312"/>
        </w:rPr>
        <w:fldChar w:fldCharType="end"/>
      </w:r>
      <w:r>
        <w:rPr>
          <w:rFonts w:eastAsia="楷体_GB2312"/>
          <w:bCs/>
          <w:sz w:val="24"/>
        </w:rPr>
        <w:t>款的约定，应承担由此给另一方或</w:t>
      </w:r>
      <w:r>
        <w:rPr>
          <w:rFonts w:eastAsia="楷体_GB2312"/>
          <w:sz w:val="24"/>
        </w:rPr>
        <w:t>“</w:t>
      </w:r>
      <w:r>
        <w:rPr>
          <w:rFonts w:eastAsia="楷体_GB2312"/>
          <w:bCs/>
          <w:sz w:val="24"/>
        </w:rPr>
        <w:t>信托财产</w:t>
      </w:r>
      <w:r>
        <w:rPr>
          <w:rFonts w:eastAsia="楷体_GB2312"/>
          <w:sz w:val="24"/>
        </w:rPr>
        <w:t>”</w:t>
      </w:r>
      <w:r>
        <w:rPr>
          <w:rFonts w:eastAsia="楷体_GB2312"/>
          <w:bCs/>
          <w:sz w:val="24"/>
        </w:rPr>
        <w:t>造成的损失。</w:t>
      </w:r>
    </w:p>
    <w:p w14:paraId="4C1E6E8D">
      <w:pPr>
        <w:spacing w:line="380" w:lineRule="atLeast"/>
        <w:rPr>
          <w:rFonts w:eastAsia="楷体_GB2312"/>
          <w:bCs/>
          <w:sz w:val="24"/>
        </w:rPr>
      </w:pPr>
    </w:p>
    <w:bookmarkEnd w:id="796"/>
    <w:p w14:paraId="4683F5EF">
      <w:pPr>
        <w:numPr>
          <w:ilvl w:val="0"/>
          <w:numId w:val="4"/>
        </w:numPr>
        <w:spacing w:line="380" w:lineRule="atLeast"/>
        <w:outlineLvl w:val="0"/>
        <w:rPr>
          <w:rFonts w:eastAsia="楷体_GB2312"/>
          <w:b/>
          <w:sz w:val="24"/>
        </w:rPr>
      </w:pPr>
      <w:bookmarkStart w:id="797" w:name="_Toc10814"/>
      <w:bookmarkStart w:id="798" w:name="_Toc111281855"/>
      <w:bookmarkStart w:id="799" w:name="_Toc51277235"/>
      <w:bookmarkStart w:id="800" w:name="_Toc373951566"/>
      <w:bookmarkStart w:id="801" w:name="_Toc110153482"/>
      <w:r>
        <w:rPr>
          <w:rFonts w:eastAsia="楷体_GB2312"/>
          <w:b/>
          <w:sz w:val="24"/>
        </w:rPr>
        <w:t>违</w:t>
      </w:r>
      <w:bookmarkStart w:id="802" w:name="_Toc106417460"/>
      <w:bookmarkEnd w:id="802"/>
      <w:bookmarkStart w:id="803" w:name="_Toc106417459"/>
      <w:bookmarkEnd w:id="803"/>
      <w:r>
        <w:rPr>
          <w:rFonts w:eastAsia="楷体_GB2312"/>
          <w:b/>
          <w:sz w:val="24"/>
        </w:rPr>
        <w:t>约</w:t>
      </w:r>
      <w:bookmarkStart w:id="804" w:name="_Toc92612964"/>
      <w:r>
        <w:rPr>
          <w:rFonts w:eastAsia="楷体_GB2312"/>
          <w:b/>
          <w:sz w:val="24"/>
        </w:rPr>
        <w:t>责任</w:t>
      </w:r>
      <w:bookmarkEnd w:id="797"/>
      <w:bookmarkEnd w:id="798"/>
      <w:bookmarkEnd w:id="799"/>
      <w:bookmarkEnd w:id="800"/>
      <w:bookmarkEnd w:id="801"/>
    </w:p>
    <w:p w14:paraId="4F7E9C14">
      <w:pPr>
        <w:spacing w:line="380" w:lineRule="atLeast"/>
        <w:rPr>
          <w:rFonts w:eastAsia="楷体_GB2312"/>
          <w:bCs/>
          <w:sz w:val="24"/>
        </w:rPr>
      </w:pPr>
    </w:p>
    <w:bookmarkEnd w:id="804"/>
    <w:p w14:paraId="47368554">
      <w:pPr>
        <w:spacing w:line="380" w:lineRule="atLeast"/>
        <w:ind w:left="404" w:leftChars="202"/>
        <w:rPr>
          <w:rFonts w:eastAsia="楷体_GB2312"/>
          <w:sz w:val="24"/>
        </w:rPr>
      </w:pPr>
      <w:r>
        <w:rPr>
          <w:rFonts w:eastAsia="楷体_GB2312"/>
          <w:sz w:val="24"/>
        </w:rPr>
        <w:t>如“委托人”、“受托人”或“受益人”未履行其在本合同项下的义务，或一方在本合同项下的声明、陈述、保证严重失实或不准确，则视为该方违约。本合同的违约方应向守约方承担继续履行、采取补救措施、赔偿守约方因此遭受的直接实际损失的违约责任。</w:t>
      </w:r>
    </w:p>
    <w:p w14:paraId="11A5CE18">
      <w:pPr>
        <w:spacing w:line="380" w:lineRule="atLeast"/>
        <w:rPr>
          <w:rFonts w:eastAsia="楷体_GB2312"/>
          <w:b/>
          <w:sz w:val="24"/>
        </w:rPr>
      </w:pPr>
    </w:p>
    <w:p w14:paraId="20E03BBF">
      <w:pPr>
        <w:numPr>
          <w:ilvl w:val="0"/>
          <w:numId w:val="4"/>
        </w:numPr>
        <w:spacing w:line="380" w:lineRule="atLeast"/>
        <w:outlineLvl w:val="0"/>
        <w:rPr>
          <w:rFonts w:eastAsia="楷体_GB2312"/>
          <w:b/>
          <w:sz w:val="24"/>
        </w:rPr>
      </w:pPr>
      <w:bookmarkStart w:id="805" w:name="_Toc51277236"/>
      <w:bookmarkStart w:id="806" w:name="_Toc111281856"/>
      <w:bookmarkStart w:id="807" w:name="_Toc373951567"/>
      <w:bookmarkStart w:id="808" w:name="_Toc14215"/>
      <w:bookmarkStart w:id="809" w:name="_Toc110153483"/>
      <w:r>
        <w:rPr>
          <w:rFonts w:eastAsia="楷体_GB2312"/>
          <w:b/>
          <w:sz w:val="24"/>
        </w:rPr>
        <w:t>不可抗力</w:t>
      </w:r>
      <w:bookmarkEnd w:id="805"/>
      <w:bookmarkEnd w:id="806"/>
      <w:bookmarkEnd w:id="807"/>
      <w:bookmarkEnd w:id="808"/>
    </w:p>
    <w:p w14:paraId="5560DDBC">
      <w:pPr>
        <w:spacing w:line="380" w:lineRule="atLeast"/>
        <w:rPr>
          <w:rFonts w:eastAsia="楷体_GB2312"/>
          <w:b/>
          <w:sz w:val="24"/>
        </w:rPr>
      </w:pPr>
    </w:p>
    <w:p w14:paraId="00275CDA">
      <w:pPr>
        <w:numPr>
          <w:ilvl w:val="1"/>
          <w:numId w:val="4"/>
        </w:numPr>
        <w:spacing w:line="380" w:lineRule="atLeast"/>
        <w:rPr>
          <w:rFonts w:eastAsia="楷体_GB2312"/>
          <w:b/>
          <w:sz w:val="24"/>
        </w:rPr>
      </w:pPr>
      <w:r>
        <w:rPr>
          <w:rFonts w:eastAsia="楷体_GB2312"/>
          <w:sz w:val="24"/>
        </w:rPr>
        <w:t>不可抗力是指本协议一方不能合理控制、不可预见或即使预见亦无法避免的事件，该事件妨碍、影响或延误任何一方根据本协议履行其全部或部分义务。该事件包括但不限于地震、台风、洪水、火灾、瘟疫、其他天灾、战争、政变、骚乱、罢工或其他类似事件，以及新法规或国家政策颁布或对原法规或国家政策的修改等因素。</w:t>
      </w:r>
    </w:p>
    <w:p w14:paraId="0121CBB9">
      <w:pPr>
        <w:autoSpaceDE w:val="0"/>
        <w:autoSpaceDN w:val="0"/>
        <w:adjustRightInd w:val="0"/>
        <w:spacing w:line="380" w:lineRule="atLeast"/>
        <w:ind w:left="420"/>
        <w:rPr>
          <w:rFonts w:eastAsia="楷体_GB2312"/>
          <w:b/>
          <w:sz w:val="24"/>
        </w:rPr>
      </w:pPr>
    </w:p>
    <w:p w14:paraId="0891385A">
      <w:pPr>
        <w:numPr>
          <w:ilvl w:val="1"/>
          <w:numId w:val="4"/>
        </w:numPr>
        <w:autoSpaceDE w:val="0"/>
        <w:autoSpaceDN w:val="0"/>
        <w:adjustRightInd w:val="0"/>
        <w:spacing w:line="380" w:lineRule="atLeast"/>
        <w:rPr>
          <w:rFonts w:eastAsia="楷体_GB2312"/>
          <w:b/>
          <w:sz w:val="24"/>
        </w:rPr>
      </w:pPr>
      <w:r>
        <w:rPr>
          <w:rFonts w:eastAsia="楷体_GB2312"/>
          <w:sz w:val="24"/>
        </w:rPr>
        <w:t>如发生不可抗力事件，则遭受该事件的一方应立即用可能的快捷方式通知对方，并在【】日内提供证明文件说明有关事件的细节和不能履行或部分不能履行或需延迟履行本协议的原因。如遭受不可抗力事件影响的一方在【】日内仍不能消除不可抗力事件所造成的影响，本合同双方应在协商一致的基础上决定是否延期履行本协议或终止本协议，并达成书面协议。</w:t>
      </w:r>
    </w:p>
    <w:p w14:paraId="462B82C3">
      <w:pPr>
        <w:spacing w:line="380" w:lineRule="atLeast"/>
        <w:rPr>
          <w:rFonts w:eastAsia="楷体_GB2312"/>
          <w:b/>
          <w:sz w:val="24"/>
        </w:rPr>
      </w:pPr>
    </w:p>
    <w:p w14:paraId="0E445C7E">
      <w:pPr>
        <w:numPr>
          <w:ilvl w:val="0"/>
          <w:numId w:val="4"/>
        </w:numPr>
        <w:spacing w:line="380" w:lineRule="atLeast"/>
        <w:outlineLvl w:val="0"/>
        <w:rPr>
          <w:rFonts w:eastAsia="楷体_GB2312"/>
          <w:b/>
          <w:sz w:val="24"/>
        </w:rPr>
      </w:pPr>
      <w:bookmarkStart w:id="810" w:name="_Toc373951568"/>
      <w:bookmarkStart w:id="811" w:name="_Ref111020368"/>
      <w:bookmarkStart w:id="812" w:name="_Toc111281857"/>
      <w:bookmarkStart w:id="813" w:name="_Toc51277237"/>
      <w:bookmarkStart w:id="814" w:name="_Toc32545"/>
      <w:r>
        <w:rPr>
          <w:rFonts w:eastAsia="楷体_GB2312"/>
          <w:b/>
          <w:sz w:val="24"/>
        </w:rPr>
        <w:t>法律</w:t>
      </w:r>
      <w:bookmarkStart w:id="815" w:name="_Toc92612965"/>
      <w:r>
        <w:rPr>
          <w:rFonts w:eastAsia="楷体_GB2312"/>
          <w:b/>
          <w:sz w:val="24"/>
        </w:rPr>
        <w:t>适用和争议解决</w:t>
      </w:r>
      <w:bookmarkEnd w:id="809"/>
      <w:bookmarkEnd w:id="810"/>
      <w:bookmarkEnd w:id="811"/>
      <w:bookmarkEnd w:id="812"/>
      <w:bookmarkEnd w:id="813"/>
      <w:bookmarkEnd w:id="814"/>
    </w:p>
    <w:p w14:paraId="6F9D0598">
      <w:pPr>
        <w:spacing w:line="380" w:lineRule="atLeast"/>
        <w:rPr>
          <w:rFonts w:eastAsia="楷体_GB2312"/>
          <w:b/>
          <w:sz w:val="24"/>
        </w:rPr>
      </w:pPr>
    </w:p>
    <w:bookmarkEnd w:id="815"/>
    <w:p w14:paraId="75EC7E6B">
      <w:pPr>
        <w:numPr>
          <w:ilvl w:val="1"/>
          <w:numId w:val="4"/>
        </w:numPr>
        <w:spacing w:line="380" w:lineRule="atLeast"/>
        <w:rPr>
          <w:rFonts w:eastAsia="楷体_GB2312"/>
          <w:sz w:val="24"/>
        </w:rPr>
      </w:pPr>
      <w:r>
        <w:rPr>
          <w:rFonts w:eastAsia="楷体_GB2312"/>
          <w:sz w:val="24"/>
        </w:rPr>
        <w:t>本合同的订立、生效、履行、解释、修改、争议解决和终止等事项适用“中国法律”。</w:t>
      </w:r>
    </w:p>
    <w:p w14:paraId="0CBAC5C9">
      <w:pPr>
        <w:spacing w:line="380" w:lineRule="atLeast"/>
        <w:rPr>
          <w:rFonts w:eastAsia="楷体_GB2312"/>
          <w:sz w:val="24"/>
        </w:rPr>
      </w:pPr>
    </w:p>
    <w:p w14:paraId="74426DAF">
      <w:pPr>
        <w:numPr>
          <w:ilvl w:val="1"/>
          <w:numId w:val="4"/>
        </w:numPr>
        <w:spacing w:line="380" w:lineRule="atLeast"/>
        <w:rPr>
          <w:rFonts w:eastAsia="楷体_GB2312"/>
          <w:sz w:val="24"/>
        </w:rPr>
      </w:pPr>
      <w:r>
        <w:rPr>
          <w:rFonts w:eastAsia="楷体_GB2312"/>
          <w:sz w:val="24"/>
        </w:rPr>
        <w:t>对于“委托人”和“受托人”在履行本合同中发生的争议，由双方协商解决。</w:t>
      </w:r>
      <w:r>
        <w:rPr>
          <w:rFonts w:eastAsia="楷体_GB2312"/>
          <w:color w:val="000000"/>
          <w:sz w:val="24"/>
        </w:rPr>
        <w:t>如争议在本合同一方向对方发出通知后【】日内仍未获解决，则</w:t>
      </w:r>
      <w:r>
        <w:rPr>
          <w:rFonts w:eastAsia="楷体_GB2312"/>
          <w:sz w:val="24"/>
        </w:rPr>
        <w:t>任何一方均有权向本合同签</w:t>
      </w:r>
      <w:r>
        <w:rPr>
          <w:rFonts w:eastAsia="楷体_GB2312"/>
          <w:color w:val="000000"/>
          <w:sz w:val="24"/>
        </w:rPr>
        <w:t>署地【】市【】</w:t>
      </w:r>
      <w:r>
        <w:rPr>
          <w:rFonts w:eastAsia="楷体_GB2312"/>
          <w:sz w:val="24"/>
        </w:rPr>
        <w:t>区有管辖权的人民法院提起【诉讼】。除非生效判决另有规定，任何一方为诉讼而实际支付的费用（包括但不限于诉讼费和合理的律师费）由败诉方承担。</w:t>
      </w:r>
    </w:p>
    <w:p w14:paraId="3376BF39">
      <w:pPr>
        <w:spacing w:line="360" w:lineRule="auto"/>
        <w:ind w:left="850" w:leftChars="425"/>
        <w:rPr>
          <w:rFonts w:eastAsia="楷体_GB2312"/>
          <w:b/>
          <w:bCs/>
          <w:i/>
          <w:iCs/>
          <w:color w:val="FF0000"/>
          <w:kern w:val="2"/>
          <w:sz w:val="24"/>
          <w:szCs w:val="24"/>
        </w:rPr>
      </w:pPr>
      <w:r>
        <w:rPr>
          <w:rFonts w:eastAsia="楷体_GB2312"/>
          <w:b/>
          <w:bCs/>
          <w:i/>
          <w:iCs/>
          <w:color w:val="FF0000"/>
          <w:kern w:val="2"/>
          <w:sz w:val="24"/>
          <w:szCs w:val="24"/>
        </w:rPr>
        <w:t>【注：争议解决的方式和地点，可根据项目安排进行调整。】</w:t>
      </w:r>
    </w:p>
    <w:p w14:paraId="6D92AFDE">
      <w:pPr>
        <w:spacing w:line="380" w:lineRule="atLeast"/>
        <w:rPr>
          <w:rFonts w:eastAsia="楷体_GB2312"/>
          <w:sz w:val="24"/>
        </w:rPr>
      </w:pPr>
    </w:p>
    <w:p w14:paraId="2F71C066">
      <w:pPr>
        <w:numPr>
          <w:ilvl w:val="1"/>
          <w:numId w:val="4"/>
        </w:numPr>
        <w:spacing w:line="380" w:lineRule="atLeast"/>
        <w:rPr>
          <w:rFonts w:eastAsia="楷体_GB2312"/>
          <w:sz w:val="24"/>
        </w:rPr>
      </w:pPr>
      <w:r>
        <w:rPr>
          <w:rFonts w:eastAsia="楷体_GB2312"/>
          <w:sz w:val="24"/>
        </w:rPr>
        <w:t>在诉讼过程中，除双方有争议正在进行诉讼的事项以外，双方应继续履行其他部分的义务。</w:t>
      </w:r>
    </w:p>
    <w:p w14:paraId="39EEE07F">
      <w:pPr>
        <w:spacing w:line="380" w:lineRule="atLeast"/>
        <w:rPr>
          <w:rFonts w:eastAsia="楷体_GB2312"/>
          <w:sz w:val="24"/>
        </w:rPr>
      </w:pPr>
    </w:p>
    <w:p w14:paraId="1C274101">
      <w:pPr>
        <w:numPr>
          <w:ilvl w:val="0"/>
          <w:numId w:val="4"/>
        </w:numPr>
        <w:spacing w:line="380" w:lineRule="atLeast"/>
        <w:outlineLvl w:val="0"/>
        <w:rPr>
          <w:rFonts w:eastAsia="楷体_GB2312"/>
          <w:b/>
          <w:sz w:val="24"/>
        </w:rPr>
      </w:pPr>
      <w:bookmarkStart w:id="816" w:name="_Toc24159"/>
      <w:bookmarkStart w:id="817" w:name="_Toc110153484"/>
      <w:bookmarkStart w:id="818" w:name="_Toc373951569"/>
      <w:bookmarkStart w:id="819" w:name="_Toc51277238"/>
      <w:bookmarkStart w:id="820" w:name="_Toc111281858"/>
      <w:r>
        <w:rPr>
          <w:rFonts w:eastAsia="楷体_GB2312"/>
          <w:b/>
          <w:sz w:val="24"/>
        </w:rPr>
        <w:t>通知</w:t>
      </w:r>
      <w:bookmarkStart w:id="821" w:name="_Toc92612966"/>
      <w:r>
        <w:rPr>
          <w:rFonts w:eastAsia="楷体_GB2312"/>
          <w:b/>
          <w:sz w:val="24"/>
        </w:rPr>
        <w:t>和送达</w:t>
      </w:r>
      <w:bookmarkEnd w:id="816"/>
      <w:bookmarkEnd w:id="817"/>
      <w:bookmarkEnd w:id="818"/>
      <w:bookmarkEnd w:id="819"/>
      <w:bookmarkEnd w:id="820"/>
    </w:p>
    <w:p w14:paraId="28F5872D">
      <w:pPr>
        <w:spacing w:line="380" w:lineRule="atLeast"/>
        <w:rPr>
          <w:rFonts w:eastAsia="楷体_GB2312"/>
          <w:sz w:val="24"/>
        </w:rPr>
      </w:pPr>
    </w:p>
    <w:p w14:paraId="6E4F8B95">
      <w:pPr>
        <w:numPr>
          <w:ilvl w:val="1"/>
          <w:numId w:val="4"/>
        </w:numPr>
        <w:spacing w:line="380" w:lineRule="atLeast"/>
        <w:rPr>
          <w:rFonts w:eastAsia="楷体_GB2312"/>
          <w:b/>
          <w:sz w:val="24"/>
        </w:rPr>
      </w:pPr>
      <w:r>
        <w:rPr>
          <w:rFonts w:eastAsia="楷体_GB2312"/>
          <w:b/>
          <w:sz w:val="24"/>
        </w:rPr>
        <w:t>委托人和受托人使用的通知和送达方式</w:t>
      </w:r>
    </w:p>
    <w:p w14:paraId="7CAAC2D8">
      <w:pPr>
        <w:spacing w:line="380" w:lineRule="atLeast"/>
        <w:rPr>
          <w:rFonts w:eastAsia="楷体_GB2312"/>
          <w:sz w:val="24"/>
        </w:rPr>
      </w:pPr>
    </w:p>
    <w:bookmarkEnd w:id="821"/>
    <w:p w14:paraId="3E01D214">
      <w:pPr>
        <w:numPr>
          <w:ilvl w:val="2"/>
          <w:numId w:val="4"/>
        </w:numPr>
        <w:tabs>
          <w:tab w:val="left" w:pos="900"/>
        </w:tabs>
        <w:spacing w:line="380" w:lineRule="atLeast"/>
        <w:ind w:left="1620" w:hanging="769"/>
        <w:rPr>
          <w:rFonts w:eastAsia="楷体_GB2312"/>
          <w:sz w:val="24"/>
        </w:rPr>
      </w:pPr>
      <w:r>
        <w:rPr>
          <w:rFonts w:eastAsia="楷体_GB2312"/>
          <w:sz w:val="24"/>
        </w:rPr>
        <w:t>“</w:t>
      </w:r>
      <w:r>
        <w:rPr>
          <w:rFonts w:eastAsia="楷体_GB2312"/>
          <w:color w:val="000000"/>
          <w:sz w:val="24"/>
        </w:rPr>
        <w:t>委托人</w:t>
      </w:r>
      <w:r>
        <w:rPr>
          <w:rFonts w:eastAsia="楷体_GB2312"/>
          <w:sz w:val="24"/>
        </w:rPr>
        <w:t>”与“受托人”在本合同中列明的注册地址为双方同意的通讯地址。双方按通讯地址或联络方式以专人送达、挂号信件、特快专递或传真，或在中国货币网（www.chinamoney.com.cn）、中国债券信息网（www.chinabond.com.cn）以及“人民银行”规定的其他方式进行相关的信息披露等有效方式，就处理信托事务过程中需要通知的事项通知相对方。</w:t>
      </w:r>
    </w:p>
    <w:p w14:paraId="66E51B9C">
      <w:pPr>
        <w:spacing w:line="380" w:lineRule="atLeast"/>
        <w:rPr>
          <w:rFonts w:eastAsia="楷体_GB2312"/>
          <w:sz w:val="24"/>
        </w:rPr>
      </w:pPr>
    </w:p>
    <w:p w14:paraId="7E612169">
      <w:pPr>
        <w:numPr>
          <w:ilvl w:val="2"/>
          <w:numId w:val="4"/>
        </w:numPr>
        <w:tabs>
          <w:tab w:val="left" w:pos="900"/>
        </w:tabs>
        <w:spacing w:line="380" w:lineRule="atLeast"/>
        <w:ind w:left="1620" w:hanging="769"/>
        <w:rPr>
          <w:rFonts w:eastAsia="楷体_GB2312"/>
          <w:sz w:val="24"/>
        </w:rPr>
      </w:pPr>
      <w:r>
        <w:rPr>
          <w:rFonts w:eastAsia="楷体_GB2312"/>
          <w:sz w:val="24"/>
        </w:rPr>
        <w:t>通知在下列日期视为送达被通知方：</w:t>
      </w:r>
    </w:p>
    <w:p w14:paraId="6F4BAF01">
      <w:pPr>
        <w:spacing w:line="380" w:lineRule="atLeast"/>
        <w:rPr>
          <w:rFonts w:eastAsia="楷体_GB2312"/>
          <w:sz w:val="24"/>
        </w:rPr>
      </w:pPr>
    </w:p>
    <w:p w14:paraId="4585AEED">
      <w:pPr>
        <w:pStyle w:val="78"/>
        <w:numPr>
          <w:ilvl w:val="0"/>
          <w:numId w:val="29"/>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专人送达：通知方取得的被通知方签收单所标示的日期；</w:t>
      </w:r>
    </w:p>
    <w:p w14:paraId="349493CA">
      <w:pPr>
        <w:spacing w:line="380" w:lineRule="atLeast"/>
        <w:ind w:left="1800"/>
        <w:rPr>
          <w:rFonts w:eastAsia="楷体_GB2312"/>
          <w:sz w:val="24"/>
        </w:rPr>
      </w:pPr>
    </w:p>
    <w:p w14:paraId="42F6701E">
      <w:pPr>
        <w:pStyle w:val="78"/>
        <w:numPr>
          <w:ilvl w:val="0"/>
          <w:numId w:val="29"/>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挂号信邮递：发出通知方持有的国内挂号函件收据所示日后第【】日；</w:t>
      </w:r>
    </w:p>
    <w:p w14:paraId="03381089">
      <w:pPr>
        <w:spacing w:line="380" w:lineRule="atLeast"/>
        <w:ind w:left="1800"/>
        <w:rPr>
          <w:rFonts w:eastAsia="楷体_GB2312"/>
          <w:sz w:val="24"/>
        </w:rPr>
      </w:pPr>
    </w:p>
    <w:p w14:paraId="18DEFEE3">
      <w:pPr>
        <w:pStyle w:val="78"/>
        <w:numPr>
          <w:ilvl w:val="0"/>
          <w:numId w:val="29"/>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特快专递：发出通知方持有的投邮凭证所示日后第【】个“工作日”；</w:t>
      </w:r>
    </w:p>
    <w:p w14:paraId="3DE4F6E6">
      <w:pPr>
        <w:pStyle w:val="78"/>
        <w:ind w:firstLine="480"/>
        <w:rPr>
          <w:rFonts w:eastAsia="楷体_GB2312"/>
          <w:sz w:val="24"/>
        </w:rPr>
      </w:pPr>
    </w:p>
    <w:p w14:paraId="13E0BB63">
      <w:pPr>
        <w:pStyle w:val="78"/>
        <w:numPr>
          <w:ilvl w:val="0"/>
          <w:numId w:val="29"/>
        </w:numPr>
        <w:tabs>
          <w:tab w:val="left" w:pos="425"/>
          <w:tab w:val="left" w:pos="900"/>
          <w:tab w:val="left" w:pos="1571"/>
        </w:tabs>
        <w:spacing w:line="380" w:lineRule="atLeast"/>
        <w:ind w:left="2127" w:hanging="426" w:firstLineChars="0"/>
        <w:rPr>
          <w:rFonts w:eastAsia="楷体_GB2312"/>
          <w:sz w:val="24"/>
        </w:rPr>
      </w:pPr>
      <w:r>
        <w:rPr>
          <w:rFonts w:eastAsia="楷体_GB2312"/>
          <w:sz w:val="24"/>
        </w:rPr>
        <w:t>传真：收到成功发送确认后的第【】个</w:t>
      </w:r>
      <w:r>
        <w:rPr>
          <w:rFonts w:eastAsia="楷体_GB2312"/>
          <w:bCs/>
          <w:sz w:val="24"/>
        </w:rPr>
        <w:t>“</w:t>
      </w:r>
      <w:r>
        <w:rPr>
          <w:rFonts w:eastAsia="楷体_GB2312"/>
          <w:sz w:val="24"/>
        </w:rPr>
        <w:t>工作日</w:t>
      </w:r>
      <w:r>
        <w:rPr>
          <w:rFonts w:eastAsia="楷体_GB2312"/>
          <w:bCs/>
          <w:sz w:val="24"/>
        </w:rPr>
        <w:t>”</w:t>
      </w:r>
      <w:r>
        <w:rPr>
          <w:rFonts w:eastAsia="楷体_GB2312"/>
          <w:sz w:val="24"/>
        </w:rPr>
        <w:t>。</w:t>
      </w:r>
    </w:p>
    <w:p w14:paraId="2F8172AC">
      <w:pPr>
        <w:spacing w:line="360" w:lineRule="atLeast"/>
        <w:ind w:left="1800"/>
        <w:rPr>
          <w:rFonts w:eastAsia="楷体_GB2312"/>
          <w:sz w:val="24"/>
        </w:rPr>
      </w:pPr>
    </w:p>
    <w:p w14:paraId="141902AF">
      <w:pPr>
        <w:numPr>
          <w:ilvl w:val="2"/>
          <w:numId w:val="4"/>
        </w:numPr>
        <w:tabs>
          <w:tab w:val="left" w:pos="900"/>
        </w:tabs>
        <w:spacing w:line="380" w:lineRule="atLeast"/>
        <w:ind w:left="1620" w:hanging="769"/>
        <w:rPr>
          <w:rFonts w:eastAsia="楷体_GB2312"/>
          <w:sz w:val="24"/>
        </w:rPr>
      </w:pPr>
      <w:r>
        <w:rPr>
          <w:rFonts w:eastAsia="楷体_GB2312"/>
          <w:sz w:val="24"/>
        </w:rPr>
        <w:t>本合同项下的任何通知、报告或其他通信以及抄送给其他各方的副本，均应按以下联系方式或各方不时根据本条款通知其他各方的联系方式发送给相关各方：</w:t>
      </w:r>
    </w:p>
    <w:tbl>
      <w:tblPr>
        <w:tblStyle w:val="27"/>
        <w:tblW w:w="8640" w:type="dxa"/>
        <w:jc w:val="center"/>
        <w:tblLayout w:type="fixed"/>
        <w:tblCellMar>
          <w:top w:w="0" w:type="dxa"/>
          <w:left w:w="108" w:type="dxa"/>
          <w:bottom w:w="0" w:type="dxa"/>
          <w:right w:w="108" w:type="dxa"/>
        </w:tblCellMar>
      </w:tblPr>
      <w:tblGrid>
        <w:gridCol w:w="3097"/>
        <w:gridCol w:w="5543"/>
      </w:tblGrid>
      <w:tr w14:paraId="60BC528A">
        <w:tblPrEx>
          <w:tblCellMar>
            <w:top w:w="0" w:type="dxa"/>
            <w:left w:w="108" w:type="dxa"/>
            <w:bottom w:w="0" w:type="dxa"/>
            <w:right w:w="108" w:type="dxa"/>
          </w:tblCellMar>
        </w:tblPrEx>
        <w:trPr>
          <w:jc w:val="center"/>
        </w:trPr>
        <w:tc>
          <w:tcPr>
            <w:tcW w:w="3097" w:type="dxa"/>
            <w:tcBorders>
              <w:top w:val="nil"/>
              <w:left w:val="nil"/>
              <w:bottom w:val="nil"/>
              <w:right w:val="nil"/>
            </w:tcBorders>
          </w:tcPr>
          <w:p w14:paraId="1E88B105">
            <w:pPr>
              <w:spacing w:before="156" w:beforeLines="50" w:after="156" w:afterLines="50" w:line="360" w:lineRule="auto"/>
              <w:rPr>
                <w:rFonts w:eastAsia="楷体_GB2312"/>
                <w:sz w:val="24"/>
              </w:rPr>
            </w:pPr>
            <w:r>
              <w:rPr>
                <w:rFonts w:eastAsia="楷体_GB2312"/>
                <w:sz w:val="24"/>
              </w:rPr>
              <w:t>委托人：</w:t>
            </w:r>
          </w:p>
        </w:tc>
        <w:tc>
          <w:tcPr>
            <w:tcW w:w="5543" w:type="dxa"/>
            <w:tcBorders>
              <w:top w:val="nil"/>
              <w:left w:val="nil"/>
              <w:bottom w:val="nil"/>
              <w:right w:val="nil"/>
            </w:tcBorders>
          </w:tcPr>
          <w:p w14:paraId="7CFBBE31">
            <w:pPr>
              <w:spacing w:before="156" w:beforeLines="50" w:after="156" w:afterLines="50" w:line="360" w:lineRule="auto"/>
              <w:rPr>
                <w:rFonts w:eastAsia="楷体_GB2312"/>
                <w:sz w:val="24"/>
              </w:rPr>
            </w:pPr>
            <w:r>
              <w:rPr>
                <w:rFonts w:eastAsia="楷体_GB2312"/>
                <w:b/>
                <w:bCs/>
                <w:sz w:val="24"/>
              </w:rPr>
              <w:t>【发起机构全称】</w:t>
            </w:r>
            <w:r>
              <w:rPr>
                <w:rFonts w:eastAsia="楷体_GB2312"/>
                <w:sz w:val="24"/>
              </w:rPr>
              <w:br w:type="textWrapping"/>
            </w:r>
            <w:r>
              <w:rPr>
                <w:rFonts w:eastAsia="楷体_GB2312"/>
                <w:sz w:val="24"/>
              </w:rPr>
              <w:t>地址：【】</w:t>
            </w:r>
            <w:r>
              <w:rPr>
                <w:rFonts w:eastAsia="楷体_GB2312"/>
                <w:sz w:val="24"/>
              </w:rPr>
              <w:br w:type="textWrapping"/>
            </w:r>
            <w:r>
              <w:rPr>
                <w:rFonts w:eastAsia="楷体_GB2312"/>
                <w:sz w:val="24"/>
              </w:rPr>
              <w:t>邮编：【】</w:t>
            </w:r>
            <w:r>
              <w:rPr>
                <w:rFonts w:eastAsia="楷体_GB2312"/>
                <w:sz w:val="24"/>
              </w:rPr>
              <w:br w:type="textWrapping"/>
            </w:r>
            <w:r>
              <w:rPr>
                <w:rFonts w:eastAsia="楷体_GB2312"/>
                <w:sz w:val="24"/>
              </w:rPr>
              <w:t>电话：【】</w:t>
            </w:r>
            <w:r>
              <w:rPr>
                <w:rFonts w:eastAsia="楷体_GB2312"/>
                <w:sz w:val="24"/>
              </w:rPr>
              <w:br w:type="textWrapping"/>
            </w:r>
            <w:r>
              <w:rPr>
                <w:rFonts w:eastAsia="楷体_GB2312"/>
                <w:sz w:val="24"/>
              </w:rPr>
              <w:t>传真：【】</w:t>
            </w:r>
            <w:r>
              <w:rPr>
                <w:rFonts w:eastAsia="楷体_GB2312"/>
                <w:sz w:val="24"/>
              </w:rPr>
              <w:br w:type="textWrapping"/>
            </w:r>
            <w:r>
              <w:rPr>
                <w:rFonts w:eastAsia="楷体_GB2312"/>
                <w:sz w:val="24"/>
              </w:rPr>
              <w:t>联系人：【】</w:t>
            </w:r>
          </w:p>
        </w:tc>
      </w:tr>
      <w:tr w14:paraId="4E0FBE61">
        <w:tblPrEx>
          <w:tblCellMar>
            <w:top w:w="0" w:type="dxa"/>
            <w:left w:w="108" w:type="dxa"/>
            <w:bottom w:w="0" w:type="dxa"/>
            <w:right w:w="108" w:type="dxa"/>
          </w:tblCellMar>
        </w:tblPrEx>
        <w:trPr>
          <w:jc w:val="center"/>
        </w:trPr>
        <w:tc>
          <w:tcPr>
            <w:tcW w:w="3097" w:type="dxa"/>
            <w:tcBorders>
              <w:top w:val="nil"/>
              <w:left w:val="nil"/>
              <w:bottom w:val="nil"/>
              <w:right w:val="nil"/>
            </w:tcBorders>
          </w:tcPr>
          <w:p w14:paraId="33B751F9">
            <w:pPr>
              <w:spacing w:before="156" w:beforeLines="50" w:after="156" w:afterLines="50" w:line="360" w:lineRule="auto"/>
              <w:rPr>
                <w:rFonts w:eastAsia="楷体_GB2312"/>
                <w:sz w:val="24"/>
              </w:rPr>
            </w:pPr>
            <w:r>
              <w:rPr>
                <w:rFonts w:eastAsia="楷体_GB2312"/>
                <w:sz w:val="24"/>
              </w:rPr>
              <w:t>受托人：</w:t>
            </w:r>
          </w:p>
        </w:tc>
        <w:tc>
          <w:tcPr>
            <w:tcW w:w="5543" w:type="dxa"/>
            <w:tcBorders>
              <w:top w:val="nil"/>
              <w:left w:val="nil"/>
              <w:bottom w:val="nil"/>
              <w:right w:val="nil"/>
            </w:tcBorders>
          </w:tcPr>
          <w:p w14:paraId="1AD08F22">
            <w:pPr>
              <w:spacing w:before="156" w:beforeLines="50" w:after="156" w:afterLines="50" w:line="360" w:lineRule="auto"/>
              <w:rPr>
                <w:rFonts w:eastAsia="楷体_GB2312"/>
                <w:sz w:val="24"/>
                <w:lang w:val="en-GB"/>
              </w:rPr>
            </w:pPr>
            <w:r>
              <w:rPr>
                <w:rFonts w:eastAsia="楷体_GB2312"/>
                <w:b/>
                <w:sz w:val="24"/>
              </w:rPr>
              <w:t>【受托机构全称】</w:t>
            </w:r>
            <w:r>
              <w:rPr>
                <w:rFonts w:eastAsia="楷体_GB2312"/>
                <w:sz w:val="24"/>
              </w:rPr>
              <w:br w:type="textWrapping"/>
            </w:r>
            <w:r>
              <w:rPr>
                <w:rFonts w:eastAsia="楷体_GB2312"/>
                <w:sz w:val="24"/>
              </w:rPr>
              <w:t>地址：</w:t>
            </w:r>
            <w:r>
              <w:rPr>
                <w:rFonts w:eastAsia="楷体_GB2312"/>
                <w:bCs/>
                <w:color w:val="000000"/>
                <w:sz w:val="24"/>
              </w:rPr>
              <w:t>【】</w:t>
            </w:r>
            <w:r>
              <w:rPr>
                <w:rFonts w:eastAsia="楷体_GB2312"/>
                <w:sz w:val="24"/>
              </w:rPr>
              <w:br w:type="textWrapping"/>
            </w:r>
            <w:r>
              <w:rPr>
                <w:rFonts w:eastAsia="楷体_GB2312"/>
                <w:sz w:val="24"/>
              </w:rPr>
              <w:t>邮编：</w:t>
            </w:r>
            <w:r>
              <w:rPr>
                <w:rFonts w:eastAsia="楷体_GB2312"/>
                <w:bCs/>
                <w:color w:val="000000"/>
                <w:sz w:val="24"/>
              </w:rPr>
              <w:t>【】</w:t>
            </w:r>
            <w:r>
              <w:rPr>
                <w:rFonts w:eastAsia="楷体_GB2312"/>
                <w:sz w:val="24"/>
              </w:rPr>
              <w:br w:type="textWrapping"/>
            </w:r>
            <w:r>
              <w:rPr>
                <w:rFonts w:eastAsia="楷体_GB2312"/>
                <w:sz w:val="24"/>
              </w:rPr>
              <w:t>电话：【】</w:t>
            </w:r>
            <w:r>
              <w:rPr>
                <w:rFonts w:eastAsia="楷体_GB2312"/>
                <w:sz w:val="24"/>
              </w:rPr>
              <w:br w:type="textWrapping"/>
            </w:r>
            <w:r>
              <w:rPr>
                <w:rFonts w:eastAsia="楷体_GB2312"/>
                <w:sz w:val="24"/>
              </w:rPr>
              <w:t>传真：【】</w:t>
            </w:r>
            <w:r>
              <w:rPr>
                <w:rFonts w:eastAsia="楷体_GB2312"/>
                <w:sz w:val="24"/>
              </w:rPr>
              <w:br w:type="textWrapping"/>
            </w:r>
            <w:r>
              <w:rPr>
                <w:rFonts w:eastAsia="楷体_GB2312"/>
                <w:sz w:val="24"/>
              </w:rPr>
              <w:t>联系人：【】</w:t>
            </w:r>
          </w:p>
        </w:tc>
      </w:tr>
      <w:tr w14:paraId="4E83B486">
        <w:tblPrEx>
          <w:tblCellMar>
            <w:top w:w="0" w:type="dxa"/>
            <w:left w:w="108" w:type="dxa"/>
            <w:bottom w:w="0" w:type="dxa"/>
            <w:right w:w="108" w:type="dxa"/>
          </w:tblCellMar>
        </w:tblPrEx>
        <w:trPr>
          <w:jc w:val="center"/>
        </w:trPr>
        <w:tc>
          <w:tcPr>
            <w:tcW w:w="3097" w:type="dxa"/>
            <w:tcBorders>
              <w:top w:val="nil"/>
              <w:left w:val="nil"/>
              <w:bottom w:val="nil"/>
              <w:right w:val="nil"/>
            </w:tcBorders>
          </w:tcPr>
          <w:p w14:paraId="4D075D77">
            <w:pPr>
              <w:spacing w:before="156" w:beforeLines="50" w:after="156" w:afterLines="50" w:line="360" w:lineRule="auto"/>
              <w:rPr>
                <w:rFonts w:eastAsia="楷体_GB2312"/>
                <w:sz w:val="24"/>
                <w:lang w:val="en-GB"/>
              </w:rPr>
            </w:pPr>
            <w:r>
              <w:rPr>
                <w:rFonts w:eastAsia="楷体_GB2312"/>
                <w:sz w:val="24"/>
              </w:rPr>
              <w:t>评级机构：</w:t>
            </w:r>
          </w:p>
        </w:tc>
        <w:tc>
          <w:tcPr>
            <w:tcW w:w="5543" w:type="dxa"/>
            <w:tcBorders>
              <w:top w:val="nil"/>
              <w:left w:val="nil"/>
              <w:bottom w:val="nil"/>
              <w:right w:val="nil"/>
            </w:tcBorders>
          </w:tcPr>
          <w:p w14:paraId="2E9969FC">
            <w:pPr>
              <w:spacing w:before="156" w:beforeLines="50" w:after="156" w:afterLines="50" w:line="360" w:lineRule="auto"/>
              <w:rPr>
                <w:rFonts w:eastAsia="楷体_GB2312"/>
                <w:sz w:val="24"/>
                <w:lang w:val="en-GB"/>
              </w:rPr>
            </w:pPr>
            <w:r>
              <w:rPr>
                <w:rFonts w:eastAsia="楷体_GB2312"/>
                <w:b/>
                <w:sz w:val="24"/>
              </w:rPr>
              <w:t>【评级机构1全称】</w:t>
            </w:r>
            <w:r>
              <w:rPr>
                <w:rFonts w:eastAsia="楷体_GB2312"/>
                <w:sz w:val="24"/>
              </w:rPr>
              <w:br w:type="textWrapping"/>
            </w:r>
            <w:r>
              <w:rPr>
                <w:rFonts w:eastAsia="楷体_GB2312"/>
                <w:sz w:val="24"/>
              </w:rPr>
              <w:t>地址：【】</w:t>
            </w:r>
            <w:r>
              <w:rPr>
                <w:rFonts w:eastAsia="楷体_GB2312"/>
                <w:sz w:val="24"/>
              </w:rPr>
              <w:br w:type="textWrapping"/>
            </w:r>
            <w:r>
              <w:rPr>
                <w:rFonts w:eastAsia="楷体_GB2312"/>
                <w:sz w:val="24"/>
              </w:rPr>
              <w:t>邮编：【】</w:t>
            </w:r>
            <w:r>
              <w:rPr>
                <w:rFonts w:eastAsia="楷体_GB2312"/>
                <w:sz w:val="24"/>
              </w:rPr>
              <w:br w:type="textWrapping"/>
            </w:r>
            <w:r>
              <w:rPr>
                <w:rFonts w:eastAsia="楷体_GB2312"/>
                <w:sz w:val="24"/>
              </w:rPr>
              <w:t>电话：【】</w:t>
            </w:r>
            <w:r>
              <w:rPr>
                <w:rFonts w:eastAsia="楷体_GB2312"/>
                <w:sz w:val="24"/>
              </w:rPr>
              <w:br w:type="textWrapping"/>
            </w:r>
            <w:r>
              <w:rPr>
                <w:rFonts w:eastAsia="楷体_GB2312"/>
                <w:sz w:val="24"/>
              </w:rPr>
              <w:t>传真：【】</w:t>
            </w:r>
            <w:r>
              <w:rPr>
                <w:rFonts w:eastAsia="楷体_GB2312"/>
                <w:sz w:val="24"/>
              </w:rPr>
              <w:br w:type="textWrapping"/>
            </w:r>
            <w:r>
              <w:rPr>
                <w:rFonts w:eastAsia="楷体_GB2312"/>
                <w:sz w:val="24"/>
              </w:rPr>
              <w:t>联系人：【】</w:t>
            </w:r>
          </w:p>
        </w:tc>
      </w:tr>
      <w:tr w14:paraId="48106A06">
        <w:tblPrEx>
          <w:tblCellMar>
            <w:top w:w="0" w:type="dxa"/>
            <w:left w:w="108" w:type="dxa"/>
            <w:bottom w:w="0" w:type="dxa"/>
            <w:right w:w="108" w:type="dxa"/>
          </w:tblCellMar>
        </w:tblPrEx>
        <w:trPr>
          <w:jc w:val="center"/>
        </w:trPr>
        <w:tc>
          <w:tcPr>
            <w:tcW w:w="3097" w:type="dxa"/>
            <w:tcBorders>
              <w:top w:val="nil"/>
              <w:left w:val="nil"/>
              <w:bottom w:val="nil"/>
              <w:right w:val="nil"/>
            </w:tcBorders>
          </w:tcPr>
          <w:p w14:paraId="2DB15990">
            <w:pPr>
              <w:spacing w:before="156" w:beforeLines="50" w:after="156" w:afterLines="50" w:line="360" w:lineRule="auto"/>
              <w:rPr>
                <w:rFonts w:eastAsia="楷体_GB2312"/>
                <w:sz w:val="24"/>
                <w:lang w:val="en-GB"/>
              </w:rPr>
            </w:pPr>
            <w:r>
              <w:rPr>
                <w:rFonts w:eastAsia="楷体_GB2312"/>
                <w:sz w:val="24"/>
              </w:rPr>
              <w:t>评级机构：</w:t>
            </w:r>
          </w:p>
        </w:tc>
        <w:tc>
          <w:tcPr>
            <w:tcW w:w="5543" w:type="dxa"/>
            <w:tcBorders>
              <w:top w:val="nil"/>
              <w:left w:val="nil"/>
              <w:bottom w:val="nil"/>
              <w:right w:val="nil"/>
            </w:tcBorders>
          </w:tcPr>
          <w:p w14:paraId="07C5BDD6">
            <w:pPr>
              <w:spacing w:before="156" w:beforeLines="50" w:after="156" w:afterLines="50" w:line="360" w:lineRule="auto"/>
              <w:rPr>
                <w:rFonts w:eastAsia="楷体_GB2312"/>
                <w:sz w:val="24"/>
                <w:lang w:val="en-GB"/>
              </w:rPr>
            </w:pPr>
            <w:r>
              <w:rPr>
                <w:rFonts w:eastAsia="楷体_GB2312"/>
                <w:b/>
                <w:sz w:val="24"/>
              </w:rPr>
              <w:t>【评级机构2全称】</w:t>
            </w:r>
            <w:r>
              <w:rPr>
                <w:rFonts w:eastAsia="楷体_GB2312"/>
                <w:sz w:val="24"/>
              </w:rPr>
              <w:br w:type="textWrapping"/>
            </w:r>
            <w:r>
              <w:rPr>
                <w:rFonts w:eastAsia="楷体_GB2312"/>
                <w:sz w:val="24"/>
              </w:rPr>
              <w:t>地址：【】</w:t>
            </w:r>
            <w:r>
              <w:rPr>
                <w:rFonts w:eastAsia="楷体_GB2312"/>
                <w:sz w:val="24"/>
              </w:rPr>
              <w:br w:type="textWrapping"/>
            </w:r>
            <w:r>
              <w:rPr>
                <w:rFonts w:eastAsia="楷体_GB2312"/>
                <w:sz w:val="24"/>
              </w:rPr>
              <w:t>邮编：【】</w:t>
            </w:r>
            <w:r>
              <w:rPr>
                <w:rFonts w:eastAsia="楷体_GB2312"/>
                <w:sz w:val="24"/>
              </w:rPr>
              <w:br w:type="textWrapping"/>
            </w:r>
            <w:r>
              <w:rPr>
                <w:rFonts w:eastAsia="楷体_GB2312"/>
                <w:sz w:val="24"/>
              </w:rPr>
              <w:t>电话：【】</w:t>
            </w:r>
            <w:r>
              <w:rPr>
                <w:rFonts w:eastAsia="楷体_GB2312"/>
                <w:sz w:val="24"/>
              </w:rPr>
              <w:br w:type="textWrapping"/>
            </w:r>
            <w:r>
              <w:rPr>
                <w:rFonts w:eastAsia="楷体_GB2312"/>
                <w:sz w:val="24"/>
              </w:rPr>
              <w:t>传真：【】</w:t>
            </w:r>
            <w:r>
              <w:rPr>
                <w:rFonts w:eastAsia="楷体_GB2312"/>
                <w:sz w:val="24"/>
              </w:rPr>
              <w:br w:type="textWrapping"/>
            </w:r>
            <w:r>
              <w:rPr>
                <w:rFonts w:eastAsia="楷体_GB2312"/>
                <w:sz w:val="24"/>
              </w:rPr>
              <w:t>联系人：【】</w:t>
            </w:r>
          </w:p>
        </w:tc>
      </w:tr>
    </w:tbl>
    <w:p w14:paraId="38C03342">
      <w:pPr>
        <w:tabs>
          <w:tab w:val="left" w:pos="1800"/>
          <w:tab w:val="left" w:pos="1980"/>
        </w:tabs>
        <w:spacing w:line="360" w:lineRule="atLeast"/>
        <w:rPr>
          <w:rFonts w:eastAsia="楷体_GB2312"/>
          <w:sz w:val="24"/>
        </w:rPr>
      </w:pPr>
    </w:p>
    <w:p w14:paraId="407B44F7">
      <w:pPr>
        <w:numPr>
          <w:ilvl w:val="2"/>
          <w:numId w:val="4"/>
        </w:numPr>
        <w:tabs>
          <w:tab w:val="left" w:pos="900"/>
        </w:tabs>
        <w:spacing w:line="380" w:lineRule="atLeast"/>
        <w:ind w:left="1620" w:hanging="769"/>
        <w:rPr>
          <w:rFonts w:eastAsia="楷体_GB2312"/>
          <w:sz w:val="24"/>
        </w:rPr>
      </w:pPr>
      <w:r>
        <w:rPr>
          <w:rFonts w:eastAsia="楷体_GB2312"/>
          <w:sz w:val="24"/>
        </w:rPr>
        <w:t>一方通讯地址或联络方式发生变化以致其他方无法通过上述任一联系方式联络到该方时，</w:t>
      </w:r>
      <w:r>
        <w:rPr>
          <w:rFonts w:eastAsia="楷体_GB2312"/>
          <w:color w:val="000000"/>
          <w:sz w:val="24"/>
        </w:rPr>
        <w:t>该方</w:t>
      </w:r>
      <w:r>
        <w:rPr>
          <w:rFonts w:eastAsia="楷体_GB2312"/>
          <w:sz w:val="24"/>
        </w:rPr>
        <w:t>应自发生变化之日起【】</w:t>
      </w:r>
      <w:r>
        <w:rPr>
          <w:rFonts w:eastAsia="楷体_GB2312"/>
          <w:color w:val="000000"/>
          <w:sz w:val="24"/>
        </w:rPr>
        <w:t>个“工作日”</w:t>
      </w:r>
      <w:r>
        <w:rPr>
          <w:rFonts w:eastAsia="楷体_GB2312"/>
          <w:sz w:val="24"/>
        </w:rPr>
        <w:t>内以书面形式通知其他方。如果在“</w:t>
      </w:r>
      <w:r>
        <w:rPr>
          <w:rFonts w:eastAsia="楷体_GB2312"/>
          <w:color w:val="000000"/>
          <w:sz w:val="24"/>
        </w:rPr>
        <w:t>信托终止日</w:t>
      </w:r>
      <w:r>
        <w:rPr>
          <w:rFonts w:eastAsia="楷体_GB2312"/>
          <w:sz w:val="24"/>
        </w:rPr>
        <w:t>”前一个月内发生上述变化的，应在【】</w:t>
      </w:r>
      <w:r>
        <w:rPr>
          <w:rFonts w:eastAsia="楷体_GB2312"/>
          <w:color w:val="000000"/>
          <w:sz w:val="24"/>
        </w:rPr>
        <w:t>个“工作日”</w:t>
      </w:r>
      <w:r>
        <w:rPr>
          <w:rFonts w:eastAsia="楷体_GB2312"/>
          <w:sz w:val="24"/>
        </w:rPr>
        <w:t>内以书面形式通知其他方。</w:t>
      </w:r>
    </w:p>
    <w:p w14:paraId="54119757">
      <w:pPr>
        <w:spacing w:line="360" w:lineRule="atLeast"/>
        <w:ind w:left="1620" w:hanging="769"/>
        <w:rPr>
          <w:rFonts w:eastAsia="楷体_GB2312"/>
          <w:sz w:val="24"/>
        </w:rPr>
      </w:pPr>
    </w:p>
    <w:p w14:paraId="41E7B5C1">
      <w:pPr>
        <w:numPr>
          <w:ilvl w:val="2"/>
          <w:numId w:val="4"/>
        </w:numPr>
        <w:tabs>
          <w:tab w:val="left" w:pos="900"/>
        </w:tabs>
        <w:spacing w:line="380" w:lineRule="atLeast"/>
        <w:ind w:left="1620" w:hanging="769"/>
        <w:rPr>
          <w:rFonts w:eastAsia="楷体_GB2312"/>
          <w:sz w:val="24"/>
        </w:rPr>
      </w:pPr>
      <w:r>
        <w:rPr>
          <w:rFonts w:eastAsia="楷体_GB2312"/>
          <w:sz w:val="24"/>
        </w:rPr>
        <w:t>如果通讯地址或联络方式发生变化的一方（简称“变动一方”）未将有关变化及时通知其他方，除非“中国法律”另有规定，变动一方应对由此而造成的影响和损失承担责任。</w:t>
      </w:r>
    </w:p>
    <w:p w14:paraId="71347C16">
      <w:pPr>
        <w:spacing w:line="360" w:lineRule="atLeast"/>
        <w:rPr>
          <w:rFonts w:eastAsia="楷体_GB2312"/>
          <w:sz w:val="24"/>
        </w:rPr>
      </w:pPr>
    </w:p>
    <w:p w14:paraId="05894312">
      <w:pPr>
        <w:numPr>
          <w:ilvl w:val="1"/>
          <w:numId w:val="4"/>
        </w:numPr>
        <w:spacing w:line="480" w:lineRule="auto"/>
        <w:rPr>
          <w:rFonts w:eastAsia="楷体_GB2312"/>
          <w:b/>
          <w:sz w:val="24"/>
        </w:rPr>
      </w:pPr>
      <w:r>
        <w:rPr>
          <w:rFonts w:eastAsia="楷体_GB2312"/>
          <w:b/>
          <w:sz w:val="24"/>
        </w:rPr>
        <w:t>受托人对受益人的通知</w:t>
      </w:r>
    </w:p>
    <w:p w14:paraId="7DDEAC61">
      <w:pPr>
        <w:spacing w:line="360" w:lineRule="atLeast"/>
        <w:ind w:left="944" w:leftChars="472"/>
        <w:rPr>
          <w:rFonts w:eastAsia="楷体_GB2312"/>
          <w:sz w:val="24"/>
        </w:rPr>
      </w:pPr>
    </w:p>
    <w:p w14:paraId="6287F0D5">
      <w:pPr>
        <w:spacing w:line="360" w:lineRule="atLeast"/>
        <w:ind w:left="944" w:leftChars="472"/>
        <w:rPr>
          <w:rFonts w:eastAsia="楷体_GB2312"/>
          <w:sz w:val="24"/>
        </w:rPr>
      </w:pPr>
      <w:r>
        <w:rPr>
          <w:rFonts w:eastAsia="楷体_GB2312"/>
          <w:sz w:val="24"/>
        </w:rPr>
        <w:t>“受托人”采用第</w:t>
      </w:r>
      <w:r>
        <w:rPr>
          <w:rFonts w:eastAsia="楷体_GB2312"/>
        </w:rPr>
        <w:fldChar w:fldCharType="begin"/>
      </w:r>
      <w:r>
        <w:rPr>
          <w:rFonts w:eastAsia="楷体_GB2312"/>
        </w:rPr>
        <w:instrText xml:space="preserve"> REF _Ref111698061 \r \h  \* MERGEFORMAT </w:instrText>
      </w:r>
      <w:r>
        <w:rPr>
          <w:rFonts w:eastAsia="楷体_GB2312"/>
        </w:rPr>
        <w:fldChar w:fldCharType="separate"/>
      </w:r>
      <w:r>
        <w:rPr>
          <w:rFonts w:eastAsia="楷体_GB2312"/>
          <w:sz w:val="24"/>
        </w:rPr>
        <w:t>21.2.1</w:t>
      </w:r>
      <w:r>
        <w:rPr>
          <w:rFonts w:eastAsia="楷体_GB2312"/>
        </w:rPr>
        <w:fldChar w:fldCharType="end"/>
      </w:r>
      <w:r>
        <w:rPr>
          <w:rFonts w:eastAsia="楷体_GB2312"/>
          <w:sz w:val="24"/>
        </w:rPr>
        <w:t>款中约定的信息披露方式将“受托人”处理信托事务过程中需要通知的事项通知“受益人”。</w:t>
      </w:r>
    </w:p>
    <w:p w14:paraId="142F154A">
      <w:pPr>
        <w:spacing w:line="360" w:lineRule="atLeast"/>
        <w:ind w:left="944" w:leftChars="472"/>
        <w:rPr>
          <w:rFonts w:eastAsia="楷体_GB2312"/>
          <w:sz w:val="24"/>
        </w:rPr>
      </w:pPr>
    </w:p>
    <w:p w14:paraId="6D507FA9">
      <w:pPr>
        <w:numPr>
          <w:ilvl w:val="0"/>
          <w:numId w:val="4"/>
        </w:numPr>
        <w:spacing w:line="480" w:lineRule="auto"/>
        <w:outlineLvl w:val="0"/>
        <w:rPr>
          <w:rFonts w:eastAsia="楷体_GB2312"/>
          <w:sz w:val="24"/>
        </w:rPr>
      </w:pPr>
      <w:bookmarkStart w:id="822" w:name="_Toc111281859"/>
      <w:bookmarkStart w:id="823" w:name="_Toc373951570"/>
      <w:bookmarkStart w:id="824" w:name="_Toc51277239"/>
      <w:bookmarkStart w:id="825" w:name="_Toc20783"/>
      <w:bookmarkStart w:id="826" w:name="_Toc110153485"/>
      <w:r>
        <w:rPr>
          <w:rFonts w:eastAsia="楷体_GB2312"/>
          <w:b/>
          <w:sz w:val="24"/>
        </w:rPr>
        <w:t>需要</w:t>
      </w:r>
      <w:bookmarkStart w:id="827" w:name="_Toc92612967"/>
      <w:r>
        <w:rPr>
          <w:rFonts w:eastAsia="楷体_GB2312"/>
          <w:b/>
          <w:sz w:val="24"/>
        </w:rPr>
        <w:t>载明的其他事项</w:t>
      </w:r>
      <w:bookmarkEnd w:id="822"/>
      <w:bookmarkEnd w:id="823"/>
      <w:bookmarkEnd w:id="824"/>
      <w:bookmarkEnd w:id="825"/>
      <w:bookmarkEnd w:id="826"/>
    </w:p>
    <w:p w14:paraId="443E770C">
      <w:pPr>
        <w:spacing w:line="360" w:lineRule="atLeast"/>
        <w:ind w:left="944" w:leftChars="472"/>
        <w:rPr>
          <w:rFonts w:eastAsia="楷体_GB2312"/>
          <w:sz w:val="24"/>
        </w:rPr>
      </w:pPr>
    </w:p>
    <w:bookmarkEnd w:id="827"/>
    <w:p w14:paraId="2B69DC8E">
      <w:pPr>
        <w:numPr>
          <w:ilvl w:val="1"/>
          <w:numId w:val="4"/>
        </w:numPr>
        <w:spacing w:line="480" w:lineRule="auto"/>
        <w:rPr>
          <w:rFonts w:eastAsia="楷体_GB2312"/>
          <w:b/>
          <w:sz w:val="24"/>
        </w:rPr>
      </w:pPr>
      <w:bookmarkStart w:id="828" w:name="_Toc111281860"/>
      <w:bookmarkStart w:id="829" w:name="_Toc110153486"/>
      <w:r>
        <w:rPr>
          <w:rFonts w:eastAsia="楷体_GB2312"/>
          <w:b/>
          <w:sz w:val="24"/>
        </w:rPr>
        <w:t>期间</w:t>
      </w:r>
      <w:bookmarkStart w:id="830" w:name="_Toc92612968"/>
      <w:r>
        <w:rPr>
          <w:rFonts w:eastAsia="楷体_GB2312"/>
          <w:b/>
          <w:sz w:val="24"/>
        </w:rPr>
        <w:t>的顺延</w:t>
      </w:r>
      <w:bookmarkEnd w:id="828"/>
      <w:bookmarkEnd w:id="829"/>
    </w:p>
    <w:p w14:paraId="173EFB38">
      <w:pPr>
        <w:spacing w:line="360" w:lineRule="atLeast"/>
        <w:ind w:left="944" w:leftChars="472"/>
        <w:rPr>
          <w:rFonts w:eastAsia="楷体_GB2312"/>
          <w:sz w:val="24"/>
        </w:rPr>
      </w:pPr>
    </w:p>
    <w:bookmarkEnd w:id="830"/>
    <w:p w14:paraId="66385FB2">
      <w:pPr>
        <w:spacing w:line="360" w:lineRule="atLeast"/>
        <w:ind w:left="944" w:leftChars="472"/>
        <w:rPr>
          <w:rFonts w:eastAsia="楷体_GB2312"/>
          <w:sz w:val="24"/>
        </w:rPr>
      </w:pPr>
      <w:r>
        <w:rPr>
          <w:rFonts w:eastAsia="楷体_GB2312"/>
          <w:sz w:val="24"/>
        </w:rPr>
        <w:t>本合同各方当事人接收款项或支付款项的日期如遇法定节假日，应顺延至法定节假日结束后的第一个</w:t>
      </w:r>
      <w:r>
        <w:rPr>
          <w:rFonts w:eastAsia="楷体_GB2312"/>
          <w:bCs/>
          <w:sz w:val="24"/>
        </w:rPr>
        <w:t>“</w:t>
      </w:r>
      <w:r>
        <w:rPr>
          <w:rFonts w:eastAsia="楷体_GB2312"/>
          <w:sz w:val="24"/>
        </w:rPr>
        <w:t>工作日</w:t>
      </w:r>
      <w:r>
        <w:rPr>
          <w:rFonts w:eastAsia="楷体_GB2312"/>
          <w:bCs/>
          <w:sz w:val="24"/>
        </w:rPr>
        <w:t>”</w:t>
      </w:r>
      <w:r>
        <w:rPr>
          <w:rFonts w:eastAsia="楷体_GB2312"/>
          <w:sz w:val="24"/>
        </w:rPr>
        <w:t>。</w:t>
      </w:r>
    </w:p>
    <w:p w14:paraId="1BBC0D07">
      <w:pPr>
        <w:spacing w:line="360" w:lineRule="atLeast"/>
        <w:ind w:left="944" w:leftChars="472"/>
        <w:rPr>
          <w:rFonts w:eastAsia="楷体_GB2312"/>
          <w:sz w:val="24"/>
        </w:rPr>
      </w:pPr>
    </w:p>
    <w:p w14:paraId="184C8576">
      <w:pPr>
        <w:numPr>
          <w:ilvl w:val="1"/>
          <w:numId w:val="4"/>
        </w:numPr>
        <w:spacing w:line="480" w:lineRule="auto"/>
        <w:rPr>
          <w:rFonts w:eastAsia="楷体_GB2312"/>
          <w:b/>
          <w:sz w:val="24"/>
        </w:rPr>
      </w:pPr>
      <w:bookmarkStart w:id="831" w:name="_Toc111281861"/>
      <w:bookmarkStart w:id="832" w:name="_Toc110153487"/>
      <w:bookmarkStart w:id="833" w:name="_Ref111286339"/>
      <w:r>
        <w:rPr>
          <w:rFonts w:eastAsia="楷体_GB2312"/>
          <w:b/>
          <w:sz w:val="24"/>
        </w:rPr>
        <w:t>合同生效</w:t>
      </w:r>
      <w:bookmarkEnd w:id="831"/>
      <w:bookmarkEnd w:id="832"/>
      <w:bookmarkEnd w:id="833"/>
      <w:r>
        <w:rPr>
          <w:rFonts w:eastAsia="楷体_GB2312"/>
          <w:b/>
          <w:sz w:val="24"/>
        </w:rPr>
        <w:t>和修改</w:t>
      </w:r>
    </w:p>
    <w:p w14:paraId="4AA8B105">
      <w:pPr>
        <w:spacing w:line="360" w:lineRule="atLeast"/>
        <w:ind w:left="944" w:leftChars="472"/>
        <w:rPr>
          <w:rFonts w:eastAsia="楷体_GB2312"/>
          <w:b/>
          <w:sz w:val="24"/>
        </w:rPr>
      </w:pPr>
    </w:p>
    <w:p w14:paraId="449BECA6">
      <w:pPr>
        <w:spacing w:line="360" w:lineRule="atLeast"/>
        <w:ind w:left="944" w:leftChars="472"/>
        <w:rPr>
          <w:rFonts w:eastAsia="楷体_GB2312"/>
          <w:bCs/>
          <w:sz w:val="24"/>
        </w:rPr>
      </w:pPr>
      <w:r>
        <w:rPr>
          <w:rFonts w:eastAsia="楷体_GB2312"/>
          <w:bCs/>
          <w:sz w:val="24"/>
        </w:rPr>
        <w:t>本合同构成“委托人”和“受托人”就“信贷资产”设立“信托”和发行“资产支持证券”事宜达成的全部和唯一的协议，此前双方就“信贷资产”设立“信托”和发行“资产支持证券”事宜而达成的任何承诺、谅解、安排或约定与本合同不一致的以本合同为准。</w:t>
      </w:r>
    </w:p>
    <w:p w14:paraId="2CD2825C">
      <w:pPr>
        <w:spacing w:line="360" w:lineRule="atLeast"/>
        <w:ind w:left="944" w:leftChars="472"/>
        <w:rPr>
          <w:rFonts w:eastAsia="楷体_GB2312"/>
          <w:b/>
          <w:sz w:val="24"/>
        </w:rPr>
      </w:pPr>
    </w:p>
    <w:p w14:paraId="22DFC609">
      <w:pPr>
        <w:spacing w:line="336" w:lineRule="auto"/>
        <w:ind w:left="944" w:leftChars="472"/>
        <w:rPr>
          <w:rFonts w:eastAsia="楷体_GB2312"/>
          <w:b/>
          <w:sz w:val="24"/>
        </w:rPr>
      </w:pPr>
      <w:r>
        <w:rPr>
          <w:rFonts w:eastAsia="楷体_GB2312"/>
          <w:sz w:val="24"/>
        </w:rPr>
        <w:t>本合同经“委托人”、“受托人”的法定代表人或（授权代理人）签字或盖章并加盖单位公章或合同专用章后，本合同即告生效。</w:t>
      </w:r>
    </w:p>
    <w:p w14:paraId="7DBD0D19">
      <w:pPr>
        <w:spacing w:line="360" w:lineRule="atLeast"/>
        <w:ind w:left="944" w:leftChars="472"/>
        <w:rPr>
          <w:rFonts w:eastAsia="楷体_GB2312"/>
          <w:b/>
          <w:sz w:val="24"/>
        </w:rPr>
      </w:pPr>
    </w:p>
    <w:p w14:paraId="58AC835F">
      <w:pPr>
        <w:spacing w:line="336" w:lineRule="auto"/>
        <w:ind w:left="944" w:leftChars="472"/>
        <w:rPr>
          <w:rFonts w:eastAsia="楷体_GB2312"/>
          <w:bCs/>
          <w:sz w:val="24"/>
        </w:rPr>
      </w:pPr>
      <w:r>
        <w:rPr>
          <w:rFonts w:eastAsia="楷体_GB2312"/>
          <w:bCs/>
          <w:sz w:val="24"/>
        </w:rPr>
        <w:t>本合同的修改只能采取书面形式，并由本合同双方法定代表人（或授权代理人）签字或盖章并加盖单位公章</w:t>
      </w:r>
      <w:r>
        <w:rPr>
          <w:rFonts w:eastAsia="楷体_GB2312"/>
          <w:sz w:val="24"/>
        </w:rPr>
        <w:t>或合同专用章</w:t>
      </w:r>
      <w:r>
        <w:rPr>
          <w:rFonts w:eastAsia="楷体_GB2312"/>
          <w:bCs/>
          <w:sz w:val="24"/>
        </w:rPr>
        <w:t>后生效。</w:t>
      </w:r>
    </w:p>
    <w:p w14:paraId="6D38C720">
      <w:pPr>
        <w:spacing w:line="360" w:lineRule="atLeast"/>
        <w:ind w:left="944" w:leftChars="472"/>
        <w:rPr>
          <w:rFonts w:eastAsia="楷体_GB2312"/>
          <w:b/>
          <w:sz w:val="24"/>
        </w:rPr>
      </w:pPr>
    </w:p>
    <w:p w14:paraId="363BFAE1">
      <w:pPr>
        <w:numPr>
          <w:ilvl w:val="1"/>
          <w:numId w:val="4"/>
        </w:numPr>
        <w:spacing w:line="480" w:lineRule="auto"/>
        <w:rPr>
          <w:rFonts w:eastAsia="楷体_GB2312"/>
          <w:b/>
          <w:sz w:val="24"/>
        </w:rPr>
      </w:pPr>
      <w:bookmarkStart w:id="834" w:name="_Toc111281862"/>
      <w:bookmarkStart w:id="835" w:name="_Toc110153488"/>
      <w:r>
        <w:rPr>
          <w:rFonts w:eastAsia="楷体_GB2312"/>
          <w:b/>
          <w:sz w:val="24"/>
        </w:rPr>
        <w:t>条款</w:t>
      </w:r>
      <w:bookmarkStart w:id="836" w:name="_Toc92612970"/>
      <w:r>
        <w:rPr>
          <w:rFonts w:eastAsia="楷体_GB2312"/>
          <w:b/>
          <w:sz w:val="24"/>
        </w:rPr>
        <w:t>的独立性</w:t>
      </w:r>
      <w:bookmarkEnd w:id="834"/>
      <w:bookmarkEnd w:id="835"/>
    </w:p>
    <w:p w14:paraId="36146514">
      <w:pPr>
        <w:spacing w:line="360" w:lineRule="atLeast"/>
        <w:ind w:left="944" w:leftChars="472"/>
        <w:rPr>
          <w:rFonts w:eastAsia="楷体_GB2312"/>
          <w:sz w:val="24"/>
        </w:rPr>
      </w:pPr>
    </w:p>
    <w:bookmarkEnd w:id="836"/>
    <w:p w14:paraId="477673DA">
      <w:pPr>
        <w:spacing w:line="360" w:lineRule="atLeast"/>
        <w:ind w:left="944" w:leftChars="472"/>
        <w:rPr>
          <w:rFonts w:eastAsia="楷体_GB2312"/>
          <w:sz w:val="24"/>
        </w:rPr>
      </w:pPr>
      <w:r>
        <w:rPr>
          <w:rFonts w:eastAsia="楷体_GB2312"/>
          <w:sz w:val="24"/>
        </w:rPr>
        <w:t>如因国家法律、行政法规的变化或其他政策原因导致本合同任何条款成为不合法或者失去相应的法律效力，本合同的其他条款的合法性、有效性和强制执行性不受影响。</w:t>
      </w:r>
    </w:p>
    <w:p w14:paraId="264745E4">
      <w:pPr>
        <w:widowControl/>
        <w:jc w:val="left"/>
        <w:rPr>
          <w:rFonts w:eastAsia="楷体_GB2312"/>
          <w:sz w:val="24"/>
        </w:rPr>
      </w:pPr>
    </w:p>
    <w:p w14:paraId="1751118D">
      <w:pPr>
        <w:numPr>
          <w:ilvl w:val="1"/>
          <w:numId w:val="4"/>
        </w:numPr>
        <w:spacing w:line="480" w:lineRule="auto"/>
        <w:rPr>
          <w:rFonts w:eastAsia="楷体_GB2312"/>
          <w:b/>
          <w:sz w:val="24"/>
        </w:rPr>
      </w:pPr>
      <w:bookmarkStart w:id="837" w:name="_Toc111281863"/>
      <w:bookmarkStart w:id="838" w:name="_Toc110153489"/>
      <w:r>
        <w:rPr>
          <w:rFonts w:eastAsia="楷体_GB2312"/>
          <w:b/>
          <w:sz w:val="24"/>
        </w:rPr>
        <w:t>合同</w:t>
      </w:r>
      <w:bookmarkStart w:id="839" w:name="_Toc92612971"/>
      <w:r>
        <w:rPr>
          <w:rFonts w:eastAsia="楷体_GB2312"/>
          <w:b/>
          <w:sz w:val="24"/>
        </w:rPr>
        <w:t>文本及其效力</w:t>
      </w:r>
      <w:bookmarkEnd w:id="837"/>
      <w:bookmarkEnd w:id="838"/>
    </w:p>
    <w:bookmarkEnd w:id="839"/>
    <w:p w14:paraId="1C1AF9E9">
      <w:pPr>
        <w:widowControl/>
        <w:jc w:val="left"/>
        <w:rPr>
          <w:rFonts w:eastAsia="楷体_GB2312"/>
          <w:sz w:val="24"/>
        </w:rPr>
      </w:pPr>
    </w:p>
    <w:p w14:paraId="51F20F26">
      <w:pPr>
        <w:spacing w:line="360" w:lineRule="atLeast"/>
        <w:ind w:left="944" w:leftChars="472"/>
        <w:rPr>
          <w:rFonts w:eastAsia="楷体_GB2312"/>
          <w:sz w:val="24"/>
        </w:rPr>
      </w:pPr>
      <w:r>
        <w:rPr>
          <w:rFonts w:eastAsia="楷体_GB2312"/>
          <w:sz w:val="24"/>
        </w:rPr>
        <w:t>本合同一式【】份，具有同等法律效力；“委托人”、“受托人”各执【】份，其余合同用于与本项目相关的监管报备，在提交报备前留存于“受托人”处。本合同所列附件是本合同不可分割的组成部分。</w:t>
      </w:r>
    </w:p>
    <w:p w14:paraId="4E3C04CA">
      <w:pPr>
        <w:widowControl/>
        <w:jc w:val="left"/>
        <w:rPr>
          <w:rFonts w:eastAsia="楷体_GB2312"/>
          <w:sz w:val="24"/>
        </w:rPr>
      </w:pPr>
      <w:r>
        <w:rPr>
          <w:rFonts w:eastAsia="楷体_GB2312"/>
          <w:sz w:val="24"/>
        </w:rPr>
        <w:t>（以下无正文）</w:t>
      </w:r>
    </w:p>
    <w:p w14:paraId="6F908702">
      <w:pPr>
        <w:widowControl/>
        <w:jc w:val="left"/>
        <w:rPr>
          <w:rFonts w:eastAsia="楷体_GB2312"/>
          <w:bCs/>
          <w:sz w:val="24"/>
        </w:rPr>
      </w:pPr>
      <w:r>
        <w:rPr>
          <w:rFonts w:eastAsia="楷体_GB2312"/>
          <w:bCs/>
          <w:sz w:val="24"/>
        </w:rPr>
        <w:t>（本页无正文，为</w:t>
      </w:r>
      <w:r>
        <w:rPr>
          <w:rFonts w:eastAsia="楷体_GB2312"/>
          <w:bCs/>
          <w:color w:val="000000" w:themeColor="text1"/>
          <w:sz w:val="24"/>
          <w14:textFill>
            <w14:solidFill>
              <w14:schemeClr w14:val="tx1"/>
            </w14:solidFill>
          </w14:textFill>
        </w:rPr>
        <w:t>编号为</w:t>
      </w:r>
      <w:r>
        <w:rPr>
          <w:rFonts w:eastAsia="楷体_GB2312"/>
          <w:sz w:val="24"/>
        </w:rPr>
        <w:t>【信托合同编号】的</w:t>
      </w:r>
      <w:r>
        <w:rPr>
          <w:rFonts w:eastAsia="楷体_GB2312"/>
          <w:bCs/>
          <w:sz w:val="24"/>
        </w:rPr>
        <w:t>《【信托名称】</w:t>
      </w:r>
      <w:r>
        <w:rPr>
          <w:rFonts w:hint="eastAsia" w:eastAsia="楷体_GB2312"/>
          <w:bCs/>
          <w:sz w:val="24"/>
        </w:rPr>
        <w:t>之</w:t>
      </w:r>
      <w:r>
        <w:rPr>
          <w:rFonts w:eastAsia="楷体_GB2312"/>
          <w:bCs/>
          <w:sz w:val="24"/>
        </w:rPr>
        <w:t>信托合同》的签署页）</w:t>
      </w:r>
    </w:p>
    <w:p w14:paraId="16983876">
      <w:pPr>
        <w:spacing w:line="480" w:lineRule="auto"/>
        <w:rPr>
          <w:rFonts w:eastAsia="楷体_GB2312"/>
          <w:i/>
          <w:color w:val="000000"/>
          <w:sz w:val="24"/>
        </w:rPr>
      </w:pPr>
    </w:p>
    <w:p w14:paraId="68BACD86">
      <w:pPr>
        <w:spacing w:line="360" w:lineRule="auto"/>
        <w:rPr>
          <w:rFonts w:eastAsia="楷体_GB2312"/>
          <w:color w:val="000000"/>
        </w:rPr>
      </w:pPr>
    </w:p>
    <w:p w14:paraId="616B7288">
      <w:pPr>
        <w:spacing w:line="360" w:lineRule="auto"/>
        <w:rPr>
          <w:rFonts w:eastAsia="楷体_GB2312"/>
          <w:color w:val="000000"/>
        </w:rPr>
      </w:pPr>
    </w:p>
    <w:p w14:paraId="7215B7FA">
      <w:pPr>
        <w:spacing w:line="480" w:lineRule="auto"/>
        <w:rPr>
          <w:rFonts w:eastAsia="楷体_GB2312"/>
          <w:i/>
          <w:color w:val="000000"/>
        </w:rPr>
      </w:pPr>
    </w:p>
    <w:p w14:paraId="463FD33A">
      <w:pPr>
        <w:spacing w:line="360" w:lineRule="auto"/>
        <w:jc w:val="center"/>
        <w:outlineLvl w:val="0"/>
        <w:rPr>
          <w:rFonts w:eastAsia="楷体_GB2312"/>
          <w:b/>
          <w:sz w:val="36"/>
          <w:szCs w:val="36"/>
        </w:rPr>
      </w:pPr>
      <w:r>
        <w:rPr>
          <w:rFonts w:eastAsia="楷体_GB2312"/>
          <w:b/>
          <w:sz w:val="36"/>
          <w:szCs w:val="36"/>
        </w:rPr>
        <w:t>【信托名称】</w:t>
      </w:r>
    </w:p>
    <w:p w14:paraId="19973702">
      <w:pPr>
        <w:spacing w:line="360" w:lineRule="auto"/>
        <w:jc w:val="center"/>
        <w:outlineLvl w:val="0"/>
        <w:rPr>
          <w:rFonts w:eastAsia="楷体_GB2312"/>
          <w:b/>
          <w:sz w:val="36"/>
          <w:szCs w:val="36"/>
        </w:rPr>
      </w:pPr>
      <w:r>
        <w:rPr>
          <w:rFonts w:hint="eastAsia" w:eastAsia="楷体_GB2312"/>
          <w:b/>
          <w:sz w:val="36"/>
          <w:szCs w:val="36"/>
        </w:rPr>
        <w:t>之</w:t>
      </w:r>
    </w:p>
    <w:p w14:paraId="59260085">
      <w:pPr>
        <w:spacing w:line="360" w:lineRule="auto"/>
        <w:jc w:val="center"/>
        <w:outlineLvl w:val="0"/>
        <w:rPr>
          <w:rFonts w:eastAsia="楷体_GB2312"/>
          <w:b/>
          <w:sz w:val="36"/>
          <w:szCs w:val="36"/>
        </w:rPr>
      </w:pPr>
      <w:r>
        <w:rPr>
          <w:rFonts w:hint="eastAsia" w:eastAsia="楷体_GB2312"/>
          <w:b/>
          <w:sz w:val="36"/>
          <w:szCs w:val="36"/>
        </w:rPr>
        <w:t>信托合同</w:t>
      </w:r>
    </w:p>
    <w:p w14:paraId="21EEE262">
      <w:pPr>
        <w:spacing w:line="360" w:lineRule="auto"/>
        <w:jc w:val="center"/>
        <w:rPr>
          <w:rFonts w:eastAsia="楷体_GB2312"/>
          <w:b/>
        </w:rPr>
      </w:pPr>
    </w:p>
    <w:p w14:paraId="646F8AF0">
      <w:pPr>
        <w:spacing w:line="360" w:lineRule="auto"/>
        <w:jc w:val="center"/>
        <w:rPr>
          <w:rFonts w:eastAsia="楷体_GB2312"/>
          <w:b/>
        </w:rPr>
      </w:pPr>
      <w:r>
        <w:rPr>
          <w:rFonts w:eastAsia="楷体_GB2312"/>
          <w:b/>
        </w:rPr>
        <w:t>签署页</w:t>
      </w:r>
    </w:p>
    <w:p w14:paraId="26320204">
      <w:pPr>
        <w:spacing w:line="360" w:lineRule="auto"/>
        <w:rPr>
          <w:rFonts w:eastAsia="楷体_GB2312"/>
          <w:color w:val="000000"/>
        </w:rPr>
      </w:pPr>
    </w:p>
    <w:p w14:paraId="67840B59">
      <w:pPr>
        <w:spacing w:line="360" w:lineRule="auto"/>
        <w:rPr>
          <w:rFonts w:eastAsia="楷体_GB2312"/>
          <w:color w:val="000000"/>
        </w:rPr>
      </w:pPr>
    </w:p>
    <w:p w14:paraId="4FB44280">
      <w:pPr>
        <w:spacing w:line="360" w:lineRule="auto"/>
        <w:rPr>
          <w:rFonts w:eastAsia="楷体_GB2312"/>
          <w:color w:val="000000"/>
        </w:rPr>
      </w:pPr>
    </w:p>
    <w:p w14:paraId="51681B4A">
      <w:pPr>
        <w:spacing w:line="360" w:lineRule="auto"/>
        <w:rPr>
          <w:rFonts w:eastAsia="楷体_GB2312"/>
          <w:b/>
          <w:color w:val="000000" w:themeColor="text1"/>
          <w:sz w:val="24"/>
          <w14:textFill>
            <w14:solidFill>
              <w14:schemeClr w14:val="tx1"/>
            </w14:solidFill>
          </w14:textFill>
        </w:rPr>
      </w:pPr>
      <w:r>
        <w:rPr>
          <w:rFonts w:eastAsia="楷体_GB2312"/>
          <w:b/>
          <w:color w:val="000000"/>
          <w:sz w:val="24"/>
        </w:rPr>
        <w:t>委托人</w:t>
      </w:r>
      <w:r>
        <w:rPr>
          <w:rFonts w:hint="eastAsia" w:eastAsia="楷体_GB2312"/>
          <w:b/>
          <w:color w:val="000000"/>
          <w:sz w:val="24"/>
        </w:rPr>
        <w:t>和发起机构</w:t>
      </w:r>
      <w:r>
        <w:rPr>
          <w:rFonts w:eastAsia="楷体_GB2312"/>
          <w:b/>
          <w:color w:val="000000"/>
          <w:sz w:val="24"/>
        </w:rPr>
        <w:t>：【发起机构全称】</w:t>
      </w:r>
      <w:r>
        <w:rPr>
          <w:rFonts w:eastAsia="楷体_GB2312"/>
          <w:b/>
          <w:color w:val="000000" w:themeColor="text1"/>
          <w:sz w:val="24"/>
          <w14:textFill>
            <w14:solidFill>
              <w14:schemeClr w14:val="tx1"/>
            </w14:solidFill>
          </w14:textFill>
        </w:rPr>
        <w:t>（公章或合同专用章）</w:t>
      </w:r>
    </w:p>
    <w:p w14:paraId="21EBCA37">
      <w:pPr>
        <w:spacing w:line="360" w:lineRule="auto"/>
        <w:rPr>
          <w:rFonts w:eastAsia="楷体_GB2312"/>
          <w:b/>
          <w:color w:val="000000"/>
          <w:sz w:val="24"/>
        </w:rPr>
      </w:pPr>
    </w:p>
    <w:p w14:paraId="6DB95BC5">
      <w:pPr>
        <w:spacing w:line="360" w:lineRule="auto"/>
        <w:rPr>
          <w:rFonts w:eastAsia="楷体_GB2312"/>
          <w:color w:val="000000"/>
          <w:sz w:val="24"/>
        </w:rPr>
      </w:pPr>
      <w:r>
        <w:rPr>
          <w:rFonts w:eastAsia="楷体_GB2312"/>
          <w:color w:val="000000"/>
          <w:sz w:val="24"/>
        </w:rPr>
        <w:t>法定代表人或授权代理人：</w:t>
      </w:r>
    </w:p>
    <w:p w14:paraId="7B0292D1">
      <w:pPr>
        <w:spacing w:line="360" w:lineRule="auto"/>
        <w:rPr>
          <w:rFonts w:eastAsia="楷体_GB2312"/>
          <w:color w:val="000000"/>
          <w:sz w:val="24"/>
        </w:rPr>
      </w:pPr>
      <w:r>
        <w:rPr>
          <w:rFonts w:eastAsia="楷体_GB2312"/>
          <w:color w:val="000000"/>
          <w:sz w:val="24"/>
        </w:rPr>
        <w:t>签署日期：【  】年【  】月【  】日</w:t>
      </w:r>
    </w:p>
    <w:p w14:paraId="2CC75EAD">
      <w:pPr>
        <w:widowControl/>
        <w:jc w:val="left"/>
        <w:rPr>
          <w:rFonts w:eastAsia="楷体_GB2312"/>
          <w:b/>
          <w:sz w:val="28"/>
          <w:szCs w:val="28"/>
        </w:rPr>
      </w:pPr>
      <w:r>
        <w:rPr>
          <w:rFonts w:eastAsia="楷体_GB2312"/>
          <w:b/>
          <w:sz w:val="28"/>
          <w:szCs w:val="28"/>
        </w:rPr>
        <w:br w:type="page"/>
      </w:r>
    </w:p>
    <w:p w14:paraId="7787EB56">
      <w:pPr>
        <w:spacing w:line="360" w:lineRule="auto"/>
        <w:rPr>
          <w:rFonts w:eastAsia="楷体_GB2312"/>
          <w:bCs/>
          <w:sz w:val="24"/>
        </w:rPr>
      </w:pPr>
      <w:bookmarkStart w:id="840" w:name="_Hlk93422272"/>
      <w:r>
        <w:rPr>
          <w:rFonts w:eastAsia="楷体_GB2312"/>
          <w:bCs/>
          <w:sz w:val="24"/>
        </w:rPr>
        <w:t>（本页无正文，为</w:t>
      </w:r>
      <w:r>
        <w:rPr>
          <w:rFonts w:eastAsia="楷体_GB2312"/>
          <w:bCs/>
          <w:color w:val="000000" w:themeColor="text1"/>
          <w:sz w:val="24"/>
          <w14:textFill>
            <w14:solidFill>
              <w14:schemeClr w14:val="tx1"/>
            </w14:solidFill>
          </w14:textFill>
        </w:rPr>
        <w:t>编号为</w:t>
      </w:r>
      <w:r>
        <w:rPr>
          <w:rFonts w:eastAsia="楷体_GB2312"/>
          <w:sz w:val="24"/>
        </w:rPr>
        <w:t>【信托合同编号】的</w:t>
      </w:r>
      <w:r>
        <w:rPr>
          <w:rFonts w:eastAsia="楷体_GB2312"/>
          <w:bCs/>
          <w:sz w:val="24"/>
        </w:rPr>
        <w:t>《【信托名称】</w:t>
      </w:r>
      <w:r>
        <w:rPr>
          <w:rFonts w:hint="eastAsia" w:eastAsia="楷体_GB2312"/>
          <w:bCs/>
          <w:sz w:val="24"/>
        </w:rPr>
        <w:t>之</w:t>
      </w:r>
      <w:r>
        <w:rPr>
          <w:rFonts w:eastAsia="楷体_GB2312"/>
          <w:bCs/>
          <w:sz w:val="24"/>
        </w:rPr>
        <w:t>信托合同》的签署页）</w:t>
      </w:r>
    </w:p>
    <w:bookmarkEnd w:id="840"/>
    <w:p w14:paraId="345C2FF0">
      <w:pPr>
        <w:spacing w:line="360" w:lineRule="auto"/>
        <w:rPr>
          <w:rFonts w:eastAsia="楷体_GB2312"/>
          <w:color w:val="000000"/>
          <w:sz w:val="24"/>
        </w:rPr>
      </w:pPr>
    </w:p>
    <w:p w14:paraId="4FA7E107">
      <w:pPr>
        <w:spacing w:line="360" w:lineRule="auto"/>
        <w:rPr>
          <w:rFonts w:eastAsia="楷体_GB2312"/>
          <w:color w:val="000000"/>
          <w:sz w:val="24"/>
        </w:rPr>
      </w:pPr>
    </w:p>
    <w:p w14:paraId="7670B763">
      <w:pPr>
        <w:spacing w:line="360" w:lineRule="auto"/>
        <w:rPr>
          <w:rFonts w:eastAsia="楷体_GB2312"/>
          <w:color w:val="000000"/>
          <w:sz w:val="24"/>
        </w:rPr>
      </w:pPr>
    </w:p>
    <w:p w14:paraId="5D3835BE">
      <w:pPr>
        <w:spacing w:line="480" w:lineRule="auto"/>
        <w:rPr>
          <w:rFonts w:eastAsia="楷体_GB2312"/>
          <w:i/>
          <w:color w:val="000000"/>
        </w:rPr>
      </w:pPr>
    </w:p>
    <w:p w14:paraId="50729FB3">
      <w:pPr>
        <w:spacing w:line="360" w:lineRule="auto"/>
        <w:jc w:val="center"/>
        <w:outlineLvl w:val="0"/>
        <w:rPr>
          <w:rFonts w:eastAsia="楷体_GB2312"/>
          <w:b/>
          <w:sz w:val="36"/>
          <w:szCs w:val="36"/>
        </w:rPr>
      </w:pPr>
      <w:r>
        <w:rPr>
          <w:rFonts w:eastAsia="楷体_GB2312"/>
          <w:b/>
          <w:sz w:val="36"/>
          <w:szCs w:val="36"/>
        </w:rPr>
        <w:t>【信托名称】</w:t>
      </w:r>
    </w:p>
    <w:p w14:paraId="58658286">
      <w:pPr>
        <w:spacing w:line="360" w:lineRule="auto"/>
        <w:jc w:val="center"/>
        <w:outlineLvl w:val="0"/>
        <w:rPr>
          <w:rFonts w:eastAsia="楷体_GB2312"/>
          <w:b/>
          <w:sz w:val="36"/>
          <w:szCs w:val="36"/>
        </w:rPr>
      </w:pPr>
      <w:r>
        <w:rPr>
          <w:rFonts w:hint="eastAsia" w:eastAsia="楷体_GB2312"/>
          <w:b/>
          <w:sz w:val="36"/>
          <w:szCs w:val="36"/>
        </w:rPr>
        <w:t>之</w:t>
      </w:r>
    </w:p>
    <w:p w14:paraId="494D291E">
      <w:pPr>
        <w:spacing w:line="360" w:lineRule="auto"/>
        <w:jc w:val="center"/>
        <w:outlineLvl w:val="0"/>
        <w:rPr>
          <w:rFonts w:eastAsia="楷体_GB2312"/>
          <w:b/>
          <w:sz w:val="36"/>
          <w:szCs w:val="36"/>
        </w:rPr>
      </w:pPr>
      <w:r>
        <w:rPr>
          <w:rFonts w:hint="eastAsia" w:eastAsia="楷体_GB2312"/>
          <w:b/>
          <w:sz w:val="36"/>
          <w:szCs w:val="36"/>
        </w:rPr>
        <w:t>信托合同</w:t>
      </w:r>
    </w:p>
    <w:p w14:paraId="302F46F4">
      <w:pPr>
        <w:spacing w:line="360" w:lineRule="auto"/>
        <w:jc w:val="center"/>
        <w:rPr>
          <w:rFonts w:eastAsia="楷体_GB2312"/>
          <w:b/>
        </w:rPr>
      </w:pPr>
    </w:p>
    <w:p w14:paraId="20C1DD6D">
      <w:pPr>
        <w:spacing w:line="360" w:lineRule="auto"/>
        <w:jc w:val="center"/>
        <w:rPr>
          <w:rFonts w:eastAsia="楷体_GB2312"/>
          <w:b/>
        </w:rPr>
      </w:pPr>
      <w:r>
        <w:rPr>
          <w:rFonts w:eastAsia="楷体_GB2312"/>
          <w:b/>
        </w:rPr>
        <w:t>签署页</w:t>
      </w:r>
    </w:p>
    <w:p w14:paraId="48586FD2">
      <w:pPr>
        <w:spacing w:line="360" w:lineRule="auto"/>
        <w:rPr>
          <w:rFonts w:eastAsia="楷体_GB2312"/>
          <w:color w:val="000000"/>
          <w:sz w:val="24"/>
        </w:rPr>
      </w:pPr>
    </w:p>
    <w:p w14:paraId="03C6A13C">
      <w:pPr>
        <w:spacing w:line="360" w:lineRule="auto"/>
        <w:rPr>
          <w:rFonts w:eastAsia="楷体_GB2312"/>
          <w:color w:val="000000"/>
          <w:sz w:val="24"/>
        </w:rPr>
      </w:pPr>
    </w:p>
    <w:p w14:paraId="76243B62">
      <w:pPr>
        <w:spacing w:line="360" w:lineRule="auto"/>
        <w:rPr>
          <w:rFonts w:eastAsia="楷体_GB2312"/>
          <w:color w:val="000000"/>
          <w:sz w:val="24"/>
        </w:rPr>
      </w:pPr>
    </w:p>
    <w:p w14:paraId="67070E78">
      <w:pPr>
        <w:spacing w:line="360" w:lineRule="auto"/>
        <w:rPr>
          <w:rFonts w:eastAsia="楷体_GB2312"/>
          <w:color w:val="000000"/>
          <w:sz w:val="24"/>
        </w:rPr>
      </w:pPr>
    </w:p>
    <w:p w14:paraId="14C2F2C7">
      <w:pPr>
        <w:spacing w:line="360" w:lineRule="auto"/>
        <w:rPr>
          <w:rFonts w:eastAsia="楷体_GB2312"/>
          <w:color w:val="000000"/>
          <w:sz w:val="24"/>
        </w:rPr>
      </w:pPr>
    </w:p>
    <w:p w14:paraId="15E88653">
      <w:pPr>
        <w:spacing w:line="360" w:lineRule="auto"/>
        <w:rPr>
          <w:rFonts w:eastAsia="楷体_GB2312"/>
          <w:b/>
          <w:color w:val="000000" w:themeColor="text1"/>
          <w:sz w:val="24"/>
          <w14:textFill>
            <w14:solidFill>
              <w14:schemeClr w14:val="tx1"/>
            </w14:solidFill>
          </w14:textFill>
        </w:rPr>
      </w:pPr>
      <w:r>
        <w:rPr>
          <w:rFonts w:eastAsia="楷体_GB2312"/>
          <w:b/>
          <w:color w:val="000000"/>
          <w:sz w:val="24"/>
        </w:rPr>
        <w:t>受托人、受托机构和发行人：【受托机构全称】</w:t>
      </w:r>
      <w:r>
        <w:rPr>
          <w:rFonts w:eastAsia="楷体_GB2312"/>
          <w:b/>
          <w:color w:val="000000" w:themeColor="text1"/>
          <w:sz w:val="24"/>
          <w14:textFill>
            <w14:solidFill>
              <w14:schemeClr w14:val="tx1"/>
            </w14:solidFill>
          </w14:textFill>
        </w:rPr>
        <w:t>（公章或合同专用章）</w:t>
      </w:r>
    </w:p>
    <w:p w14:paraId="1475E350">
      <w:pPr>
        <w:spacing w:line="360" w:lineRule="auto"/>
        <w:rPr>
          <w:rFonts w:eastAsia="楷体_GB2312"/>
          <w:b/>
          <w:color w:val="000000"/>
          <w:sz w:val="24"/>
        </w:rPr>
      </w:pPr>
    </w:p>
    <w:p w14:paraId="099E40A5">
      <w:pPr>
        <w:spacing w:line="360" w:lineRule="auto"/>
        <w:rPr>
          <w:rFonts w:eastAsia="楷体_GB2312"/>
          <w:color w:val="000000"/>
          <w:sz w:val="24"/>
        </w:rPr>
      </w:pPr>
      <w:r>
        <w:rPr>
          <w:rFonts w:eastAsia="楷体_GB2312"/>
          <w:color w:val="000000"/>
          <w:sz w:val="24"/>
        </w:rPr>
        <w:t>法定代表人或授权代理人：</w:t>
      </w:r>
    </w:p>
    <w:p w14:paraId="17229F7C">
      <w:pPr>
        <w:spacing w:line="360" w:lineRule="auto"/>
        <w:rPr>
          <w:rFonts w:eastAsia="楷体_GB2312"/>
          <w:color w:val="000000"/>
          <w:sz w:val="24"/>
        </w:rPr>
      </w:pPr>
      <w:r>
        <w:rPr>
          <w:rFonts w:eastAsia="楷体_GB2312"/>
          <w:color w:val="000000"/>
          <w:sz w:val="24"/>
        </w:rPr>
        <w:t>签署日期：【  】年【  】月【  】日</w:t>
      </w:r>
      <w:r>
        <w:rPr>
          <w:rFonts w:eastAsia="楷体_GB2312"/>
          <w:color w:val="000000"/>
          <w:sz w:val="24"/>
        </w:rPr>
        <w:br w:type="page"/>
      </w:r>
    </w:p>
    <w:p w14:paraId="264D0B99">
      <w:pPr>
        <w:spacing w:line="380" w:lineRule="atLeast"/>
        <w:outlineLvl w:val="0"/>
        <w:rPr>
          <w:rFonts w:eastAsia="楷体_GB2312"/>
          <w:b/>
          <w:sz w:val="24"/>
        </w:rPr>
      </w:pPr>
      <w:bookmarkStart w:id="841" w:name="_Toc51277240"/>
      <w:bookmarkStart w:id="842" w:name="_Toc373951571"/>
      <w:bookmarkStart w:id="843" w:name="_Toc28435"/>
      <w:r>
        <w:rPr>
          <w:rFonts w:eastAsia="楷体_GB2312"/>
          <w:b/>
          <w:sz w:val="24"/>
        </w:rPr>
        <w:t>附件一：</w:t>
      </w:r>
      <w:bookmarkEnd w:id="841"/>
      <w:bookmarkEnd w:id="842"/>
      <w:r>
        <w:rPr>
          <w:rFonts w:eastAsia="楷体_GB2312"/>
          <w:b/>
          <w:sz w:val="24"/>
        </w:rPr>
        <w:t>信贷资产清单格式</w:t>
      </w:r>
      <w:bookmarkEnd w:id="843"/>
    </w:p>
    <w:p w14:paraId="74C2C538">
      <w:pPr>
        <w:spacing w:line="380" w:lineRule="atLeast"/>
        <w:rPr>
          <w:rFonts w:eastAsia="楷体_GB2312"/>
          <w:sz w:val="24"/>
        </w:rPr>
      </w:pPr>
    </w:p>
    <w:p w14:paraId="6F14F0F9">
      <w:pPr>
        <w:spacing w:line="380" w:lineRule="exact"/>
        <w:ind w:firstLine="420"/>
        <w:rPr>
          <w:rFonts w:eastAsia="楷体_GB2312"/>
          <w:sz w:val="24"/>
        </w:rPr>
      </w:pPr>
      <w:r>
        <w:rPr>
          <w:rFonts w:eastAsia="楷体_GB2312"/>
          <w:sz w:val="24"/>
        </w:rPr>
        <w:t>就“委托人”根据“《信托合同》”信托予或转让给“受托人”的“信贷资产”而言，“信贷资产清单”应包括以下信息：</w:t>
      </w:r>
    </w:p>
    <w:p w14:paraId="116D7593">
      <w:pPr>
        <w:spacing w:line="360" w:lineRule="auto"/>
        <w:rPr>
          <w:rFonts w:eastAsia="楷体_GB2312"/>
          <w:b/>
          <w:bCs/>
          <w:i/>
          <w:iCs/>
          <w:color w:val="FF0000"/>
          <w:sz w:val="24"/>
        </w:rPr>
      </w:pPr>
      <w:r>
        <w:rPr>
          <w:rFonts w:eastAsia="楷体_GB2312"/>
          <w:b/>
          <w:bCs/>
          <w:i/>
          <w:iCs/>
          <w:color w:val="FF0000"/>
          <w:sz w:val="24"/>
        </w:rPr>
        <w:t>【注：根据具体项目补充相应的资产清单格式</w:t>
      </w:r>
      <w:r>
        <w:rPr>
          <w:rFonts w:hint="eastAsia" w:eastAsia="楷体_GB2312"/>
          <w:b/>
          <w:bCs/>
          <w:i/>
          <w:iCs/>
          <w:color w:val="FF0000"/>
          <w:sz w:val="24"/>
        </w:rPr>
        <w:t>。</w:t>
      </w:r>
      <w:r>
        <w:rPr>
          <w:rFonts w:eastAsia="楷体_GB2312"/>
          <w:b/>
          <w:bCs/>
          <w:i/>
          <w:iCs/>
          <w:color w:val="FF0000"/>
          <w:sz w:val="24"/>
        </w:rPr>
        <w:t>】</w:t>
      </w:r>
    </w:p>
    <w:p w14:paraId="2F443848">
      <w:pPr>
        <w:spacing w:line="380" w:lineRule="atLeast"/>
        <w:rPr>
          <w:rFonts w:eastAsia="楷体_GB2312"/>
          <w:sz w:val="24"/>
        </w:rPr>
      </w:pPr>
    </w:p>
    <w:p w14:paraId="672FFE9E">
      <w:pPr>
        <w:spacing w:line="380" w:lineRule="atLeast"/>
        <w:outlineLvl w:val="0"/>
        <w:rPr>
          <w:rFonts w:eastAsia="楷体_GB2312"/>
          <w:b/>
          <w:sz w:val="24"/>
        </w:rPr>
      </w:pPr>
      <w:r>
        <w:rPr>
          <w:rFonts w:eastAsia="楷体_GB2312"/>
          <w:sz w:val="24"/>
        </w:rPr>
        <w:br w:type="page"/>
      </w:r>
      <w:bookmarkStart w:id="844" w:name="_Toc373951572"/>
      <w:bookmarkStart w:id="845" w:name="_Toc31386"/>
      <w:bookmarkStart w:id="846" w:name="_Toc51277241"/>
      <w:r>
        <w:rPr>
          <w:rFonts w:eastAsia="楷体_GB2312"/>
          <w:b/>
          <w:sz w:val="24"/>
        </w:rPr>
        <w:t>附件二：</w:t>
      </w:r>
      <w:bookmarkEnd w:id="844"/>
      <w:bookmarkStart w:id="847" w:name="_Toc373951573"/>
      <w:r>
        <w:rPr>
          <w:rFonts w:eastAsia="楷体_GB2312"/>
          <w:b/>
          <w:sz w:val="24"/>
        </w:rPr>
        <w:t>确认函格式</w:t>
      </w:r>
      <w:bookmarkEnd w:id="845"/>
      <w:bookmarkEnd w:id="846"/>
      <w:bookmarkEnd w:id="847"/>
    </w:p>
    <w:p w14:paraId="3747D2C8">
      <w:pPr>
        <w:spacing w:line="380" w:lineRule="atLeast"/>
        <w:ind w:left="200" w:leftChars="100"/>
        <w:rPr>
          <w:rFonts w:eastAsia="楷体_GB2312"/>
          <w:b/>
          <w:sz w:val="24"/>
        </w:rPr>
      </w:pPr>
    </w:p>
    <w:p w14:paraId="596E2543">
      <w:pPr>
        <w:spacing w:line="380" w:lineRule="atLeast"/>
        <w:jc w:val="center"/>
        <w:rPr>
          <w:rFonts w:eastAsia="楷体_GB2312"/>
          <w:b/>
          <w:sz w:val="24"/>
        </w:rPr>
      </w:pPr>
      <w:r>
        <w:rPr>
          <w:rFonts w:eastAsia="楷体_GB2312"/>
          <w:b/>
          <w:sz w:val="24"/>
        </w:rPr>
        <w:t>确认函</w:t>
      </w:r>
    </w:p>
    <w:p w14:paraId="719856AD">
      <w:pPr>
        <w:spacing w:line="380" w:lineRule="atLeast"/>
        <w:jc w:val="center"/>
        <w:rPr>
          <w:rFonts w:eastAsia="楷体_GB2312"/>
          <w:sz w:val="24"/>
        </w:rPr>
      </w:pPr>
    </w:p>
    <w:p w14:paraId="7C4214CB">
      <w:pPr>
        <w:spacing w:line="380" w:lineRule="exact"/>
        <w:rPr>
          <w:rFonts w:eastAsia="楷体_GB2312"/>
          <w:sz w:val="24"/>
        </w:rPr>
      </w:pPr>
      <w:r>
        <w:rPr>
          <w:rFonts w:eastAsia="楷体_GB2312"/>
          <w:sz w:val="24"/>
        </w:rPr>
        <w:t>致：</w:t>
      </w:r>
      <w:r>
        <w:rPr>
          <w:rFonts w:eastAsia="楷体_GB2312"/>
          <w:sz w:val="24"/>
        </w:rPr>
        <w:tab/>
      </w:r>
      <w:r>
        <w:rPr>
          <w:rFonts w:eastAsia="楷体_GB2312"/>
          <w:sz w:val="24"/>
        </w:rPr>
        <w:t>【发起机构全称】（“委托人”）</w:t>
      </w:r>
    </w:p>
    <w:p w14:paraId="0E24A9F5">
      <w:pPr>
        <w:spacing w:line="380" w:lineRule="exact"/>
        <w:rPr>
          <w:rFonts w:eastAsia="楷体_GB2312"/>
          <w:sz w:val="24"/>
        </w:rPr>
      </w:pPr>
    </w:p>
    <w:p w14:paraId="2F98D95F">
      <w:pPr>
        <w:spacing w:line="380" w:lineRule="exact"/>
        <w:rPr>
          <w:rFonts w:eastAsia="楷体_GB2312"/>
          <w:sz w:val="24"/>
        </w:rPr>
      </w:pPr>
      <w:r>
        <w:rPr>
          <w:rFonts w:eastAsia="楷体_GB2312"/>
          <w:sz w:val="24"/>
        </w:rPr>
        <w:t>日期_______________</w:t>
      </w:r>
    </w:p>
    <w:p w14:paraId="15D7E24A">
      <w:pPr>
        <w:spacing w:line="380" w:lineRule="exact"/>
        <w:rPr>
          <w:rFonts w:eastAsia="楷体_GB2312"/>
          <w:sz w:val="24"/>
        </w:rPr>
      </w:pPr>
    </w:p>
    <w:p w14:paraId="1610DD05">
      <w:pPr>
        <w:spacing w:before="156" w:beforeLines="50" w:after="312" w:afterLines="100" w:line="380" w:lineRule="exact"/>
        <w:ind w:firstLine="420"/>
        <w:rPr>
          <w:rFonts w:eastAsia="楷体_GB2312"/>
          <w:sz w:val="24"/>
        </w:rPr>
      </w:pPr>
      <w:r>
        <w:rPr>
          <w:rFonts w:eastAsia="楷体_GB2312"/>
          <w:sz w:val="24"/>
        </w:rPr>
        <w:t>根据【发起机构全称】（“委托人”）、【受托机构全称】（“受托人”）签署的编号为【信托合同编号】的《</w:t>
      </w:r>
      <w:r>
        <w:rPr>
          <w:rFonts w:eastAsia="楷体_GB2312"/>
          <w:color w:val="000000"/>
          <w:sz w:val="24"/>
        </w:rPr>
        <w:t>【信托名称】之信托合同</w:t>
      </w:r>
      <w:r>
        <w:rPr>
          <w:rFonts w:eastAsia="楷体_GB2312"/>
          <w:sz w:val="24"/>
        </w:rPr>
        <w:t>》（“《信托合同》”）第</w:t>
      </w:r>
      <w:r>
        <w:rPr>
          <w:rFonts w:eastAsia="楷体_GB2312"/>
          <w:sz w:val="24"/>
        </w:rPr>
        <w:fldChar w:fldCharType="begin"/>
      </w:r>
      <w:r>
        <w:rPr>
          <w:rFonts w:eastAsia="楷体_GB2312"/>
          <w:sz w:val="24"/>
        </w:rPr>
        <w:instrText xml:space="preserve"> REF _Ref51241105 \r \h </w:instrText>
      </w:r>
      <w:r>
        <w:rPr>
          <w:rFonts w:eastAsia="楷体_GB2312"/>
          <w:sz w:val="24"/>
        </w:rPr>
        <w:fldChar w:fldCharType="separate"/>
      </w:r>
      <w:r>
        <w:rPr>
          <w:rFonts w:eastAsia="楷体_GB2312"/>
          <w:sz w:val="24"/>
        </w:rPr>
        <w:t>3.9.1</w:t>
      </w:r>
      <w:r>
        <w:rPr>
          <w:rFonts w:eastAsia="楷体_GB2312"/>
          <w:sz w:val="24"/>
        </w:rPr>
        <w:fldChar w:fldCharType="end"/>
      </w:r>
      <w:r>
        <w:rPr>
          <w:rFonts w:eastAsia="楷体_GB2312"/>
          <w:sz w:val="24"/>
        </w:rPr>
        <w:t>款的约定，贵行（作为“委托人”）应向本公司（作为“受托人”）交付“信贷资产清单”。</w:t>
      </w:r>
    </w:p>
    <w:p w14:paraId="1FFBBBC5">
      <w:pPr>
        <w:spacing w:before="156" w:beforeLines="50" w:after="312" w:afterLines="100" w:line="380" w:lineRule="exact"/>
        <w:ind w:firstLine="480" w:firstLineChars="200"/>
        <w:rPr>
          <w:rFonts w:eastAsia="楷体_GB2312"/>
          <w:sz w:val="24"/>
        </w:rPr>
      </w:pPr>
      <w:r>
        <w:rPr>
          <w:rFonts w:eastAsia="楷体_GB2312"/>
          <w:sz w:val="24"/>
        </w:rPr>
        <w:t>兹确认，本公司已经根据“《信托合同》”的约定收到“信贷资产”的“信贷资产清单”。</w:t>
      </w:r>
    </w:p>
    <w:p w14:paraId="175F3BD3">
      <w:pPr>
        <w:spacing w:before="156" w:beforeLines="50" w:after="312" w:afterLines="100" w:line="380" w:lineRule="exact"/>
        <w:ind w:firstLine="480" w:firstLineChars="200"/>
        <w:rPr>
          <w:rFonts w:eastAsia="楷体_GB2312"/>
          <w:sz w:val="24"/>
        </w:rPr>
      </w:pPr>
      <w:r>
        <w:rPr>
          <w:rFonts w:eastAsia="楷体_GB2312"/>
          <w:sz w:val="24"/>
        </w:rPr>
        <w:t>若无相反定义，此处使用的词语和表述与签署的“《信托合同》”和编号为【主定义表编号】的《【信托名称】主定义表》（“《主定义表》”）中的相同词语和表述具有相同含义。</w:t>
      </w:r>
    </w:p>
    <w:p w14:paraId="3B86DD87">
      <w:pPr>
        <w:spacing w:line="380" w:lineRule="exact"/>
        <w:rPr>
          <w:rFonts w:eastAsia="楷体_GB2312"/>
          <w:b/>
          <w:sz w:val="28"/>
          <w:szCs w:val="28"/>
        </w:rPr>
      </w:pPr>
    </w:p>
    <w:p w14:paraId="3FED4FA5">
      <w:pPr>
        <w:spacing w:line="380" w:lineRule="exact"/>
        <w:rPr>
          <w:rFonts w:eastAsia="楷体_GB2312"/>
          <w:sz w:val="28"/>
          <w:szCs w:val="28"/>
        </w:rPr>
      </w:pPr>
      <w:r>
        <w:rPr>
          <w:rFonts w:eastAsia="楷体_GB2312"/>
          <w:b/>
          <w:sz w:val="28"/>
          <w:szCs w:val="28"/>
        </w:rPr>
        <w:t>受托人：【受托机构全称】（公章）</w:t>
      </w:r>
    </w:p>
    <w:p w14:paraId="0E155159">
      <w:pPr>
        <w:spacing w:line="380" w:lineRule="exact"/>
        <w:rPr>
          <w:rFonts w:eastAsia="楷体_GB2312"/>
          <w:sz w:val="28"/>
          <w:szCs w:val="28"/>
        </w:rPr>
      </w:pPr>
    </w:p>
    <w:p w14:paraId="62DE8617">
      <w:pPr>
        <w:spacing w:line="380" w:lineRule="exact"/>
        <w:rPr>
          <w:rFonts w:eastAsia="楷体_GB2312"/>
          <w:b/>
          <w:sz w:val="28"/>
          <w:szCs w:val="28"/>
        </w:rPr>
      </w:pPr>
    </w:p>
    <w:p w14:paraId="0DCB1A7E">
      <w:pPr>
        <w:spacing w:line="380" w:lineRule="exact"/>
        <w:rPr>
          <w:rFonts w:eastAsia="楷体_GB2312"/>
          <w:b/>
          <w:sz w:val="28"/>
          <w:szCs w:val="28"/>
        </w:rPr>
      </w:pPr>
      <w:r>
        <w:rPr>
          <w:rFonts w:eastAsia="楷体_GB2312"/>
          <w:b/>
          <w:sz w:val="28"/>
          <w:szCs w:val="28"/>
        </w:rPr>
        <w:t>法定代表人或授权代理人：</w:t>
      </w:r>
    </w:p>
    <w:p w14:paraId="43C40A19">
      <w:pPr>
        <w:spacing w:line="380" w:lineRule="exact"/>
        <w:rPr>
          <w:rFonts w:eastAsia="楷体_GB2312"/>
          <w:b/>
          <w:sz w:val="28"/>
          <w:szCs w:val="28"/>
        </w:rPr>
      </w:pPr>
    </w:p>
    <w:p w14:paraId="52C42F02">
      <w:pPr>
        <w:spacing w:line="380" w:lineRule="exact"/>
        <w:rPr>
          <w:rFonts w:eastAsia="楷体_GB2312"/>
          <w:b/>
          <w:sz w:val="28"/>
          <w:szCs w:val="28"/>
        </w:rPr>
      </w:pPr>
    </w:p>
    <w:p w14:paraId="4B4C35F8">
      <w:pPr>
        <w:spacing w:line="380" w:lineRule="exact"/>
        <w:rPr>
          <w:rFonts w:eastAsia="楷体_GB2312"/>
          <w:b/>
          <w:sz w:val="28"/>
          <w:szCs w:val="28"/>
        </w:rPr>
      </w:pPr>
      <w:r>
        <w:rPr>
          <w:rFonts w:eastAsia="楷体_GB2312"/>
          <w:b/>
          <w:sz w:val="28"/>
          <w:szCs w:val="28"/>
        </w:rPr>
        <w:t>签署日期：【】年【】月【】日</w:t>
      </w:r>
    </w:p>
    <w:p w14:paraId="45BF478E">
      <w:pPr>
        <w:rPr>
          <w:rFonts w:eastAsia="楷体_GB2312"/>
          <w:b/>
          <w:sz w:val="24"/>
        </w:rPr>
      </w:pPr>
    </w:p>
    <w:p w14:paraId="5628F1F8">
      <w:pPr>
        <w:spacing w:line="380" w:lineRule="exact"/>
        <w:rPr>
          <w:rFonts w:eastAsia="楷体_GB2312"/>
          <w:b/>
          <w:sz w:val="28"/>
          <w:szCs w:val="28"/>
        </w:rPr>
      </w:pPr>
    </w:p>
    <w:p w14:paraId="7BD799B2">
      <w:pPr>
        <w:widowControl/>
        <w:jc w:val="left"/>
        <w:rPr>
          <w:rFonts w:eastAsia="楷体_GB2312"/>
          <w:sz w:val="24"/>
        </w:rPr>
      </w:pPr>
      <w:r>
        <w:rPr>
          <w:rFonts w:eastAsia="楷体_GB2312"/>
          <w:sz w:val="24"/>
        </w:rPr>
        <w:br w:type="page"/>
      </w:r>
    </w:p>
    <w:p w14:paraId="1930435E">
      <w:pPr>
        <w:spacing w:line="380" w:lineRule="atLeast"/>
        <w:outlineLvl w:val="0"/>
        <w:rPr>
          <w:rFonts w:eastAsia="楷体_GB2312"/>
          <w:b/>
          <w:sz w:val="24"/>
        </w:rPr>
      </w:pPr>
      <w:bookmarkStart w:id="848" w:name="_Toc51277242"/>
      <w:bookmarkStart w:id="849" w:name="_Toc4060"/>
      <w:bookmarkStart w:id="850" w:name="_Toc373951574"/>
      <w:r>
        <w:rPr>
          <w:rFonts w:eastAsia="楷体_GB2312"/>
          <w:b/>
          <w:sz w:val="24"/>
        </w:rPr>
        <w:t>附件三：权利完善通知的格式</w:t>
      </w:r>
      <w:bookmarkEnd w:id="848"/>
      <w:bookmarkEnd w:id="849"/>
      <w:bookmarkEnd w:id="850"/>
    </w:p>
    <w:p w14:paraId="6B9530CE">
      <w:pPr>
        <w:spacing w:line="360" w:lineRule="exact"/>
        <w:jc w:val="center"/>
        <w:rPr>
          <w:rFonts w:eastAsia="楷体_GB2312"/>
          <w:b/>
          <w:sz w:val="24"/>
        </w:rPr>
      </w:pPr>
    </w:p>
    <w:p w14:paraId="557E4FDD">
      <w:pPr>
        <w:pStyle w:val="78"/>
        <w:numPr>
          <w:ilvl w:val="0"/>
          <w:numId w:val="30"/>
        </w:numPr>
        <w:spacing w:line="360" w:lineRule="exact"/>
        <w:ind w:firstLineChars="0"/>
        <w:jc w:val="center"/>
        <w:rPr>
          <w:rFonts w:eastAsia="楷体_GB2312"/>
          <w:b/>
          <w:sz w:val="24"/>
        </w:rPr>
      </w:pPr>
      <w:r>
        <w:rPr>
          <w:rFonts w:eastAsia="楷体_GB2312"/>
          <w:b/>
          <w:sz w:val="24"/>
        </w:rPr>
        <w:t>权利完善通知格式</w:t>
      </w:r>
    </w:p>
    <w:p w14:paraId="69CAA308">
      <w:pPr>
        <w:spacing w:line="360" w:lineRule="exact"/>
        <w:jc w:val="center"/>
        <w:rPr>
          <w:rFonts w:eastAsia="楷体_GB2312"/>
          <w:b/>
          <w:sz w:val="24"/>
        </w:rPr>
      </w:pPr>
    </w:p>
    <w:p w14:paraId="1DDD4A44">
      <w:pPr>
        <w:spacing w:line="380" w:lineRule="exact"/>
        <w:rPr>
          <w:rFonts w:eastAsia="楷体_GB2312"/>
          <w:color w:val="000000"/>
          <w:sz w:val="24"/>
        </w:rPr>
      </w:pPr>
      <w:r>
        <w:rPr>
          <w:rFonts w:eastAsia="楷体_GB2312"/>
          <w:color w:val="000000"/>
          <w:sz w:val="24"/>
        </w:rPr>
        <w:t>（适用于：1、通知对象为“借款人”；2、</w:t>
      </w:r>
      <w:r>
        <w:rPr>
          <w:rFonts w:eastAsia="楷体_GB2312"/>
          <w:sz w:val="24"/>
        </w:rPr>
        <w:t>由</w:t>
      </w:r>
      <w:r>
        <w:rPr>
          <w:rFonts w:eastAsia="楷体_GB2312"/>
          <w:color w:val="000000"/>
          <w:sz w:val="24"/>
        </w:rPr>
        <w:t>“</w:t>
      </w:r>
      <w:r>
        <w:rPr>
          <w:rFonts w:eastAsia="楷体_GB2312"/>
          <w:sz w:val="24"/>
        </w:rPr>
        <w:t>【发起机构简称】”通知。</w:t>
      </w:r>
      <w:r>
        <w:rPr>
          <w:rFonts w:eastAsia="楷体_GB2312"/>
          <w:color w:val="000000"/>
          <w:sz w:val="24"/>
        </w:rPr>
        <w:t>）</w:t>
      </w:r>
    </w:p>
    <w:p w14:paraId="4D76DCCF">
      <w:pPr>
        <w:spacing w:line="380" w:lineRule="exact"/>
        <w:rPr>
          <w:rFonts w:eastAsia="楷体_GB2312"/>
          <w:b/>
          <w:color w:val="000000"/>
          <w:sz w:val="24"/>
        </w:rPr>
      </w:pPr>
    </w:p>
    <w:p w14:paraId="6401BD53">
      <w:pPr>
        <w:spacing w:line="380" w:lineRule="exact"/>
        <w:rPr>
          <w:rFonts w:eastAsia="楷体_GB2312"/>
          <w:b/>
          <w:color w:val="000000"/>
          <w:sz w:val="24"/>
        </w:rPr>
      </w:pPr>
      <w:r>
        <w:rPr>
          <w:rFonts w:eastAsia="楷体_GB2312"/>
          <w:b/>
          <w:color w:val="000000"/>
          <w:sz w:val="24"/>
        </w:rPr>
        <w:t>致：【相关“借款人”的名称/姓名和注册地址】</w:t>
      </w:r>
    </w:p>
    <w:p w14:paraId="31C907F9">
      <w:pPr>
        <w:spacing w:line="360" w:lineRule="auto"/>
        <w:rPr>
          <w:rFonts w:eastAsia="楷体_GB2312"/>
          <w:b/>
          <w:color w:val="000000"/>
          <w:sz w:val="24"/>
        </w:rPr>
      </w:pPr>
      <w:r>
        <w:rPr>
          <w:rFonts w:eastAsia="楷体_GB2312"/>
          <w:b/>
          <w:color w:val="000000"/>
          <w:sz w:val="24"/>
        </w:rPr>
        <w:t>抄送：【受托机构全称】</w:t>
      </w:r>
    </w:p>
    <w:p w14:paraId="0843A7BD">
      <w:pPr>
        <w:spacing w:line="380" w:lineRule="exact"/>
        <w:rPr>
          <w:rFonts w:eastAsia="楷体_GB2312"/>
          <w:b/>
          <w:color w:val="000000"/>
          <w:sz w:val="24"/>
        </w:rPr>
      </w:pPr>
      <w:r>
        <w:rPr>
          <w:rFonts w:eastAsia="楷体_GB2312"/>
          <w:b/>
          <w:color w:val="000000"/>
          <w:sz w:val="24"/>
        </w:rPr>
        <w:t>日期_______________</w:t>
      </w:r>
    </w:p>
    <w:p w14:paraId="2686ADB1">
      <w:pPr>
        <w:spacing w:line="380" w:lineRule="exact"/>
        <w:rPr>
          <w:rFonts w:eastAsia="楷体_GB2312"/>
          <w:b/>
          <w:color w:val="000000"/>
          <w:sz w:val="24"/>
        </w:rPr>
      </w:pPr>
    </w:p>
    <w:p w14:paraId="17C22357">
      <w:pPr>
        <w:spacing w:line="380" w:lineRule="exact"/>
        <w:rPr>
          <w:rFonts w:eastAsia="楷体_GB2312"/>
          <w:b/>
          <w:color w:val="000000"/>
          <w:sz w:val="24"/>
        </w:rPr>
      </w:pPr>
      <w:r>
        <w:rPr>
          <w:rFonts w:eastAsia="楷体_GB2312"/>
          <w:b/>
          <w:color w:val="000000"/>
          <w:sz w:val="24"/>
        </w:rPr>
        <w:t>敬启者</w:t>
      </w:r>
    </w:p>
    <w:p w14:paraId="0DD27163">
      <w:pPr>
        <w:spacing w:line="380" w:lineRule="exact"/>
        <w:rPr>
          <w:rFonts w:eastAsia="楷体_GB2312"/>
          <w:color w:val="000000"/>
          <w:sz w:val="24"/>
        </w:rPr>
      </w:pPr>
    </w:p>
    <w:p w14:paraId="5D549FF4">
      <w:pPr>
        <w:spacing w:line="380" w:lineRule="exact"/>
        <w:ind w:firstLine="420"/>
        <w:rPr>
          <w:rFonts w:eastAsia="楷体_GB2312"/>
          <w:color w:val="000000"/>
          <w:sz w:val="24"/>
        </w:rPr>
      </w:pPr>
      <w:r>
        <w:rPr>
          <w:rFonts w:eastAsia="楷体_GB2312"/>
          <w:color w:val="000000"/>
          <w:sz w:val="24"/>
        </w:rPr>
        <w:t>根据【发起机构全称】（“【发起机构简称】”）与【受托机构全称】签署的</w:t>
      </w:r>
      <w:r>
        <w:rPr>
          <w:rFonts w:eastAsia="楷体_GB2312"/>
          <w:sz w:val="24"/>
        </w:rPr>
        <w:t>编号为【信托合同编号】的</w:t>
      </w:r>
      <w:r>
        <w:rPr>
          <w:rFonts w:eastAsia="楷体_GB2312"/>
          <w:color w:val="000000"/>
          <w:sz w:val="24"/>
        </w:rPr>
        <w:t>《【信托名称】之信托合同》（“《信托合同》”）、【发起机构简称】和【受托机构全称】于【</w:t>
      </w:r>
      <w:r>
        <w:rPr>
          <w:rFonts w:eastAsia="楷体_GB2312"/>
          <w:i/>
          <w:color w:val="000000"/>
          <w:sz w:val="24"/>
        </w:rPr>
        <w:t>日期</w:t>
      </w:r>
      <w:r>
        <w:rPr>
          <w:rFonts w:eastAsia="楷体_GB2312"/>
          <w:color w:val="000000"/>
          <w:sz w:val="24"/>
        </w:rPr>
        <w:t>】在【</w:t>
      </w:r>
      <w:r>
        <w:rPr>
          <w:rFonts w:eastAsia="楷体_GB2312"/>
          <w:i/>
          <w:color w:val="000000"/>
          <w:sz w:val="24"/>
        </w:rPr>
        <w:t>公共媒体</w:t>
      </w:r>
      <w:r>
        <w:rPr>
          <w:rFonts w:eastAsia="楷体_GB2312"/>
          <w:color w:val="000000"/>
          <w:sz w:val="24"/>
        </w:rPr>
        <w:t>】刊登的信托公告（“信托公告”），【发起机构简称】已将包括您的贷款（具体信息见本通知附件）在内的特定贷款债权及其附属权益（现有的和将来的、实际的和或有的）全部信托予/转让给【受托机构全称】。</w:t>
      </w:r>
    </w:p>
    <w:p w14:paraId="12894E4D">
      <w:pPr>
        <w:spacing w:line="380" w:lineRule="exact"/>
        <w:ind w:firstLine="420"/>
        <w:rPr>
          <w:rFonts w:eastAsia="楷体_GB2312"/>
          <w:color w:val="000000"/>
          <w:sz w:val="24"/>
        </w:rPr>
      </w:pPr>
    </w:p>
    <w:p w14:paraId="388DA0B6">
      <w:pPr>
        <w:spacing w:line="380" w:lineRule="exact"/>
        <w:ind w:firstLine="420"/>
        <w:rPr>
          <w:rFonts w:eastAsia="楷体_GB2312"/>
          <w:color w:val="000000"/>
          <w:sz w:val="24"/>
        </w:rPr>
      </w:pPr>
      <w:r>
        <w:rPr>
          <w:rFonts w:eastAsia="楷体_GB2312"/>
          <w:color w:val="000000"/>
          <w:sz w:val="24"/>
        </w:rPr>
        <w:t>自【</w:t>
      </w:r>
      <w:r>
        <w:rPr>
          <w:rFonts w:eastAsia="楷体_GB2312"/>
          <w:i/>
          <w:color w:val="000000"/>
          <w:sz w:val="24"/>
        </w:rPr>
        <w:t>日期</w:t>
      </w:r>
      <w:r>
        <w:rPr>
          <w:rFonts w:eastAsia="楷体_GB2312"/>
          <w:color w:val="000000"/>
          <w:sz w:val="24"/>
        </w:rPr>
        <w:t>】起，与该笔贷款及相关附属权益有关的</w:t>
      </w:r>
      <w:r>
        <w:rPr>
          <w:rFonts w:eastAsia="楷体_GB2312"/>
          <w:sz w:val="24"/>
        </w:rPr>
        <w:t>所有权利，均由</w:t>
      </w:r>
      <w:r>
        <w:rPr>
          <w:rFonts w:eastAsia="楷体_GB2312"/>
          <w:color w:val="000000"/>
          <w:sz w:val="24"/>
        </w:rPr>
        <w:t>【受托机构全称】</w:t>
      </w:r>
      <w:r>
        <w:rPr>
          <w:rFonts w:eastAsia="楷体_GB2312"/>
          <w:sz w:val="24"/>
        </w:rPr>
        <w:t>（为资产支持证券持有人的利益）行使，</w:t>
      </w:r>
      <w:r>
        <w:rPr>
          <w:rFonts w:eastAsia="楷体_GB2312"/>
          <w:color w:val="000000"/>
          <w:sz w:val="24"/>
        </w:rPr>
        <w:t>【发起机构简称】有义务继续履行其在您的《借款合同》中应承担的义务。该项转让行为并未改变【发起机构简称】与您签署的《借款合同》的其他内容，不会给您的利益带来不利影响。</w:t>
      </w:r>
    </w:p>
    <w:p w14:paraId="2C5B3D8F">
      <w:pPr>
        <w:spacing w:line="360" w:lineRule="auto"/>
        <w:ind w:firstLine="420"/>
        <w:rPr>
          <w:rFonts w:eastAsia="楷体_GB2312"/>
          <w:i/>
          <w:iCs/>
          <w:color w:val="000000"/>
          <w:sz w:val="24"/>
        </w:rPr>
      </w:pPr>
    </w:p>
    <w:p w14:paraId="43556FD0">
      <w:pPr>
        <w:spacing w:line="360" w:lineRule="auto"/>
        <w:ind w:firstLine="420"/>
        <w:rPr>
          <w:rFonts w:eastAsia="楷体_GB2312"/>
          <w:color w:val="000000"/>
          <w:sz w:val="24"/>
        </w:rPr>
      </w:pPr>
      <w:r>
        <w:rPr>
          <w:rFonts w:eastAsia="楷体_GB2312"/>
          <w:i/>
          <w:iCs/>
          <w:color w:val="000000"/>
          <w:sz w:val="24"/>
        </w:rPr>
        <w:t>（本段不适用于</w:t>
      </w:r>
      <w:bookmarkStart w:id="851" w:name="_Hlk61981460"/>
      <w:r>
        <w:rPr>
          <w:rFonts w:eastAsia="楷体_GB2312"/>
          <w:i/>
          <w:iCs/>
          <w:color w:val="000000"/>
          <w:sz w:val="24"/>
        </w:rPr>
        <w:t>“权利完善事件”(a)项及(</w:t>
      </w:r>
      <w:r>
        <w:rPr>
          <w:rFonts w:hint="eastAsia" w:eastAsia="楷体_GB2312"/>
          <w:i/>
          <w:iCs/>
          <w:color w:val="000000"/>
          <w:sz w:val="24"/>
        </w:rPr>
        <w:t>d</w:t>
      </w:r>
      <w:r>
        <w:rPr>
          <w:rFonts w:eastAsia="楷体_GB2312"/>
          <w:i/>
          <w:iCs/>
          <w:color w:val="000000"/>
          <w:sz w:val="24"/>
        </w:rPr>
        <w:t>)项</w:t>
      </w:r>
      <w:bookmarkEnd w:id="851"/>
      <w:r>
        <w:rPr>
          <w:rFonts w:eastAsia="楷体_GB2312"/>
          <w:i/>
          <w:iCs/>
          <w:color w:val="000000"/>
          <w:sz w:val="24"/>
        </w:rPr>
        <w:t>）</w:t>
      </w:r>
      <w:r>
        <w:rPr>
          <w:rFonts w:eastAsia="楷体_GB2312"/>
          <w:color w:val="000000"/>
          <w:sz w:val="24"/>
        </w:rPr>
        <w:t>根据【发起机构简称】与【</w:t>
      </w:r>
      <w:r>
        <w:rPr>
          <w:rFonts w:hint="eastAsia" w:eastAsia="楷体_GB2312"/>
          <w:color w:val="000000"/>
          <w:sz w:val="24"/>
        </w:rPr>
        <w:t>贷款服务机构</w:t>
      </w:r>
      <w:r>
        <w:rPr>
          <w:rFonts w:eastAsia="楷体_GB2312"/>
          <w:color w:val="000000"/>
          <w:sz w:val="24"/>
        </w:rPr>
        <w:t>全称】于【】年【】月【】日签署的编号为【服务合同编号】的《【信托名称】服务合同》（“《服务合同》”），【受托机构全称】已委托【</w:t>
      </w:r>
      <w:r>
        <w:rPr>
          <w:rFonts w:hint="eastAsia" w:eastAsia="楷体_GB2312"/>
          <w:color w:val="000000"/>
          <w:sz w:val="24"/>
        </w:rPr>
        <w:t>贷款服务机构全称</w:t>
      </w:r>
      <w:r>
        <w:rPr>
          <w:rFonts w:eastAsia="楷体_GB2312"/>
          <w:color w:val="000000"/>
          <w:sz w:val="24"/>
        </w:rPr>
        <w:t>】担任“贷款服务机构”，继续处理与您的该笔贷款相关的未来回收工作（包括根据《借款合同》的约定向您主张权利），直到贷款全部还清或我们向您发出进一步通知。</w:t>
      </w:r>
    </w:p>
    <w:p w14:paraId="3FAF68BC">
      <w:pPr>
        <w:spacing w:line="380" w:lineRule="exact"/>
        <w:ind w:firstLine="420"/>
        <w:rPr>
          <w:rFonts w:eastAsia="楷体_GB2312"/>
          <w:color w:val="000000"/>
          <w:sz w:val="24"/>
        </w:rPr>
      </w:pPr>
    </w:p>
    <w:p w14:paraId="4751DCE6">
      <w:pPr>
        <w:spacing w:line="380" w:lineRule="exact"/>
        <w:ind w:firstLine="420"/>
        <w:rPr>
          <w:rFonts w:eastAsia="楷体_GB2312"/>
          <w:color w:val="000000"/>
          <w:sz w:val="24"/>
        </w:rPr>
      </w:pPr>
      <w:r>
        <w:rPr>
          <w:rFonts w:eastAsia="楷体_GB2312"/>
          <w:color w:val="000000"/>
          <w:sz w:val="24"/>
        </w:rPr>
        <w:t>自【</w:t>
      </w:r>
      <w:r>
        <w:rPr>
          <w:rFonts w:eastAsia="楷体_GB2312"/>
          <w:i/>
          <w:color w:val="000000"/>
          <w:sz w:val="24"/>
        </w:rPr>
        <w:t>日期</w:t>
      </w:r>
      <w:r>
        <w:rPr>
          <w:rFonts w:eastAsia="楷体_GB2312"/>
          <w:color w:val="000000"/>
          <w:sz w:val="24"/>
        </w:rPr>
        <w:t>】起，您应向【受托机构全称】指定的如下“信托账户”还款，直到贷款全部还清或我们向您发出进一步通知。</w:t>
      </w:r>
    </w:p>
    <w:p w14:paraId="2A942CE9">
      <w:pPr>
        <w:spacing w:line="380" w:lineRule="exact"/>
        <w:ind w:firstLine="420"/>
        <w:rPr>
          <w:rFonts w:eastAsia="楷体_GB2312"/>
          <w:color w:val="000000"/>
          <w:sz w:val="24"/>
        </w:rPr>
      </w:pPr>
    </w:p>
    <w:p w14:paraId="118BB9D1">
      <w:pPr>
        <w:spacing w:line="380" w:lineRule="exact"/>
        <w:ind w:firstLine="420"/>
        <w:rPr>
          <w:rFonts w:eastAsia="楷体_GB2312"/>
          <w:color w:val="000000"/>
          <w:sz w:val="24"/>
        </w:rPr>
      </w:pPr>
      <w:r>
        <w:rPr>
          <w:rFonts w:eastAsia="楷体_GB2312"/>
          <w:color w:val="000000"/>
          <w:sz w:val="24"/>
        </w:rPr>
        <w:t>“信托账户”的信息如下：</w:t>
      </w:r>
    </w:p>
    <w:p w14:paraId="3864523B">
      <w:pPr>
        <w:spacing w:line="380" w:lineRule="exact"/>
        <w:ind w:firstLine="420"/>
        <w:rPr>
          <w:rFonts w:eastAsia="楷体_GB2312"/>
          <w:color w:val="000000"/>
          <w:sz w:val="24"/>
        </w:rPr>
      </w:pPr>
      <w:r>
        <w:rPr>
          <w:rFonts w:eastAsia="楷体_GB2312"/>
          <w:color w:val="000000"/>
          <w:sz w:val="24"/>
        </w:rPr>
        <w:t>账号：【】</w:t>
      </w:r>
    </w:p>
    <w:p w14:paraId="7BB369F6">
      <w:pPr>
        <w:spacing w:line="380" w:lineRule="exact"/>
        <w:ind w:firstLine="420"/>
        <w:rPr>
          <w:rFonts w:eastAsia="楷体_GB2312"/>
          <w:color w:val="000000"/>
          <w:sz w:val="24"/>
        </w:rPr>
      </w:pPr>
      <w:r>
        <w:rPr>
          <w:rFonts w:eastAsia="楷体_GB2312"/>
          <w:color w:val="000000"/>
          <w:sz w:val="24"/>
        </w:rPr>
        <w:t>户名：【】</w:t>
      </w:r>
    </w:p>
    <w:p w14:paraId="2CF4FBFA">
      <w:pPr>
        <w:spacing w:line="380" w:lineRule="exact"/>
        <w:ind w:firstLine="420"/>
        <w:rPr>
          <w:rFonts w:eastAsia="楷体_GB2312"/>
          <w:color w:val="000000"/>
          <w:sz w:val="24"/>
        </w:rPr>
      </w:pPr>
      <w:r>
        <w:rPr>
          <w:rFonts w:eastAsia="楷体_GB2312"/>
          <w:color w:val="000000"/>
          <w:sz w:val="24"/>
        </w:rPr>
        <w:t>开户行：【】</w:t>
      </w:r>
    </w:p>
    <w:p w14:paraId="4D73782A">
      <w:pPr>
        <w:spacing w:line="380" w:lineRule="exact"/>
        <w:ind w:firstLine="420"/>
        <w:rPr>
          <w:rFonts w:eastAsia="楷体_GB2312"/>
          <w:color w:val="000000"/>
          <w:sz w:val="24"/>
        </w:rPr>
      </w:pPr>
      <w:r>
        <w:rPr>
          <w:rFonts w:eastAsia="楷体_GB2312"/>
          <w:color w:val="000000"/>
          <w:sz w:val="24"/>
        </w:rPr>
        <w:t>大额支付号：【】</w:t>
      </w:r>
    </w:p>
    <w:p w14:paraId="61D5D4FF">
      <w:pPr>
        <w:spacing w:line="380" w:lineRule="exact"/>
        <w:ind w:firstLine="420"/>
        <w:rPr>
          <w:rFonts w:eastAsia="楷体_GB2312"/>
          <w:color w:val="000000"/>
          <w:sz w:val="24"/>
        </w:rPr>
      </w:pPr>
    </w:p>
    <w:p w14:paraId="6359307F">
      <w:pPr>
        <w:spacing w:line="380" w:lineRule="exact"/>
        <w:ind w:firstLine="420"/>
        <w:rPr>
          <w:rFonts w:eastAsia="楷体_GB2312"/>
          <w:color w:val="000000"/>
          <w:sz w:val="24"/>
        </w:rPr>
      </w:pPr>
      <w:r>
        <w:rPr>
          <w:rFonts w:eastAsia="楷体_GB2312"/>
          <w:color w:val="000000"/>
          <w:sz w:val="24"/>
        </w:rPr>
        <w:t>如果您对本通知内容或您的贷款及与其有关的任何付款金额有任何问题，请按如下方式进行查询：</w:t>
      </w:r>
    </w:p>
    <w:p w14:paraId="6FA66D9F">
      <w:pPr>
        <w:spacing w:line="380" w:lineRule="exact"/>
        <w:ind w:firstLine="420"/>
        <w:rPr>
          <w:rFonts w:eastAsia="楷体_GB2312"/>
          <w:color w:val="000000"/>
          <w:sz w:val="24"/>
        </w:rPr>
      </w:pPr>
    </w:p>
    <w:p w14:paraId="5EC865C5">
      <w:pPr>
        <w:spacing w:line="380" w:lineRule="exact"/>
        <w:ind w:left="420"/>
        <w:rPr>
          <w:rFonts w:eastAsia="楷体_GB2312"/>
          <w:color w:val="000000"/>
          <w:sz w:val="24"/>
        </w:rPr>
      </w:pPr>
      <w:r>
        <w:rPr>
          <w:rFonts w:eastAsia="楷体_GB2312"/>
          <w:color w:val="000000"/>
          <w:sz w:val="24"/>
        </w:rPr>
        <w:t>联系地址：</w:t>
      </w:r>
      <w:r>
        <w:rPr>
          <w:rFonts w:eastAsia="楷体_GB2312"/>
          <w:color w:val="000000"/>
          <w:sz w:val="24"/>
        </w:rPr>
        <w:br w:type="textWrapping"/>
      </w:r>
      <w:r>
        <w:rPr>
          <w:rFonts w:eastAsia="楷体_GB2312"/>
          <w:color w:val="000000"/>
          <w:sz w:val="24"/>
        </w:rPr>
        <w:t>联系人：</w:t>
      </w:r>
      <w:r>
        <w:rPr>
          <w:rFonts w:eastAsia="楷体_GB2312"/>
          <w:color w:val="000000"/>
          <w:sz w:val="24"/>
        </w:rPr>
        <w:br w:type="textWrapping"/>
      </w:r>
      <w:r>
        <w:rPr>
          <w:rFonts w:eastAsia="楷体_GB2312"/>
          <w:color w:val="000000"/>
          <w:sz w:val="24"/>
        </w:rPr>
        <w:t>联系电话：</w:t>
      </w:r>
      <w:r>
        <w:rPr>
          <w:rFonts w:eastAsia="楷体_GB2312"/>
          <w:color w:val="000000"/>
          <w:sz w:val="24"/>
        </w:rPr>
        <w:br w:type="textWrapping"/>
      </w:r>
      <w:r>
        <w:rPr>
          <w:rFonts w:eastAsia="楷体_GB2312"/>
          <w:color w:val="000000"/>
          <w:sz w:val="24"/>
        </w:rPr>
        <w:t>传真：</w:t>
      </w:r>
    </w:p>
    <w:p w14:paraId="48F51DE4">
      <w:pPr>
        <w:spacing w:line="380" w:lineRule="exact"/>
        <w:rPr>
          <w:rFonts w:eastAsia="楷体_GB2312"/>
          <w:color w:val="000000"/>
          <w:sz w:val="24"/>
        </w:rPr>
      </w:pPr>
    </w:p>
    <w:p w14:paraId="7E88A02C">
      <w:pPr>
        <w:spacing w:line="380" w:lineRule="exact"/>
        <w:rPr>
          <w:rFonts w:eastAsia="楷体_GB2312"/>
          <w:b/>
          <w:sz w:val="24"/>
        </w:rPr>
      </w:pPr>
      <w:r>
        <w:rPr>
          <w:rFonts w:eastAsia="楷体_GB2312"/>
          <w:b/>
          <w:sz w:val="24"/>
        </w:rPr>
        <w:t>【发起机构全称】</w:t>
      </w:r>
      <w:r>
        <w:rPr>
          <w:rFonts w:eastAsia="楷体_GB2312"/>
          <w:sz w:val="24"/>
        </w:rPr>
        <w:t>（</w:t>
      </w:r>
      <w:r>
        <w:rPr>
          <w:rFonts w:eastAsia="楷体_GB2312"/>
          <w:color w:val="000000"/>
          <w:sz w:val="24"/>
        </w:rPr>
        <w:t>作为“委托人”、“发起机构”）（公章）</w:t>
      </w:r>
    </w:p>
    <w:p w14:paraId="5A75AAD9">
      <w:pPr>
        <w:spacing w:after="200" w:line="380" w:lineRule="exact"/>
        <w:rPr>
          <w:rFonts w:eastAsia="楷体_GB2312"/>
          <w:color w:val="000000"/>
          <w:sz w:val="24"/>
        </w:rPr>
      </w:pPr>
    </w:p>
    <w:p w14:paraId="6F283234">
      <w:pPr>
        <w:spacing w:after="200" w:line="380" w:lineRule="exact"/>
        <w:rPr>
          <w:rFonts w:eastAsia="楷体_GB2312"/>
          <w:color w:val="000000"/>
          <w:sz w:val="24"/>
        </w:rPr>
      </w:pPr>
      <w:r>
        <w:rPr>
          <w:rFonts w:eastAsia="楷体_GB2312"/>
          <w:color w:val="000000"/>
          <w:sz w:val="24"/>
        </w:rPr>
        <w:t>法定代表人或授权代理人：</w:t>
      </w:r>
    </w:p>
    <w:p w14:paraId="741AD9E4">
      <w:pPr>
        <w:spacing w:after="200" w:line="380" w:lineRule="exact"/>
        <w:rPr>
          <w:rFonts w:eastAsia="楷体_GB2312"/>
          <w:color w:val="000000"/>
          <w:sz w:val="24"/>
        </w:rPr>
      </w:pPr>
    </w:p>
    <w:p w14:paraId="4525FA56">
      <w:pPr>
        <w:tabs>
          <w:tab w:val="left" w:pos="5520"/>
        </w:tabs>
        <w:spacing w:after="480" w:line="380" w:lineRule="exact"/>
        <w:rPr>
          <w:rFonts w:eastAsia="楷体_GB2312"/>
          <w:color w:val="000000"/>
          <w:sz w:val="24"/>
        </w:rPr>
      </w:pPr>
      <w:r>
        <w:rPr>
          <w:rFonts w:eastAsia="楷体_GB2312"/>
          <w:color w:val="000000"/>
          <w:sz w:val="24"/>
        </w:rPr>
        <w:t>签署日期：【】年【】月【】日</w:t>
      </w:r>
    </w:p>
    <w:p w14:paraId="5D018E7B">
      <w:pPr>
        <w:tabs>
          <w:tab w:val="left" w:pos="5520"/>
        </w:tabs>
        <w:spacing w:after="480" w:line="380" w:lineRule="exact"/>
        <w:rPr>
          <w:rFonts w:eastAsia="楷体_GB2312"/>
          <w:color w:val="000000"/>
          <w:sz w:val="24"/>
        </w:rPr>
      </w:pPr>
    </w:p>
    <w:p w14:paraId="1FC3EB56">
      <w:pPr>
        <w:tabs>
          <w:tab w:val="left" w:pos="5880"/>
        </w:tabs>
        <w:spacing w:after="480" w:line="380" w:lineRule="exact"/>
        <w:rPr>
          <w:rFonts w:eastAsia="楷体_GB2312"/>
          <w:b/>
          <w:color w:val="000000"/>
          <w:sz w:val="24"/>
        </w:rPr>
      </w:pPr>
      <w:r>
        <w:rPr>
          <w:rFonts w:eastAsia="楷体_GB2312"/>
          <w:b/>
          <w:color w:val="000000"/>
          <w:sz w:val="24"/>
        </w:rPr>
        <w:t>附件：</w:t>
      </w:r>
    </w:p>
    <w:p w14:paraId="3A28163D">
      <w:pPr>
        <w:spacing w:line="380" w:lineRule="exact"/>
        <w:rPr>
          <w:rFonts w:eastAsia="楷体_GB2312"/>
          <w:sz w:val="24"/>
        </w:rPr>
      </w:pPr>
      <w:r>
        <w:rPr>
          <w:rFonts w:eastAsia="楷体_GB2312"/>
          <w:sz w:val="24"/>
        </w:rPr>
        <w:t>借款合同编号：</w:t>
      </w:r>
    </w:p>
    <w:p w14:paraId="2EE9ED64">
      <w:pPr>
        <w:spacing w:line="380" w:lineRule="exact"/>
        <w:rPr>
          <w:rFonts w:eastAsia="楷体_GB2312"/>
          <w:sz w:val="24"/>
        </w:rPr>
      </w:pPr>
      <w:r>
        <w:rPr>
          <w:rFonts w:eastAsia="楷体_GB2312"/>
          <w:sz w:val="24"/>
        </w:rPr>
        <w:t>借款人名称/姓名：</w:t>
      </w:r>
    </w:p>
    <w:p w14:paraId="5F44D6E4">
      <w:pPr>
        <w:spacing w:line="380" w:lineRule="exact"/>
        <w:rPr>
          <w:rFonts w:eastAsia="楷体_GB2312"/>
          <w:sz w:val="24"/>
        </w:rPr>
      </w:pPr>
      <w:r>
        <w:rPr>
          <w:rFonts w:eastAsia="楷体_GB2312"/>
          <w:sz w:val="24"/>
        </w:rPr>
        <w:t>保证合同编号：</w:t>
      </w:r>
    </w:p>
    <w:p w14:paraId="6EF4C031">
      <w:pPr>
        <w:spacing w:line="380" w:lineRule="exact"/>
        <w:rPr>
          <w:rFonts w:eastAsia="楷体_GB2312"/>
          <w:sz w:val="24"/>
        </w:rPr>
      </w:pPr>
      <w:r>
        <w:rPr>
          <w:rFonts w:eastAsia="楷体_GB2312"/>
          <w:sz w:val="24"/>
        </w:rPr>
        <w:t>保证人名称/姓名：</w:t>
      </w:r>
    </w:p>
    <w:p w14:paraId="3E7E1010">
      <w:pPr>
        <w:spacing w:line="380" w:lineRule="exact"/>
        <w:rPr>
          <w:rFonts w:eastAsia="楷体_GB2312"/>
          <w:sz w:val="24"/>
        </w:rPr>
      </w:pPr>
      <w:r>
        <w:rPr>
          <w:rFonts w:eastAsia="楷体_GB2312"/>
          <w:sz w:val="24"/>
        </w:rPr>
        <w:t>抵押合同编号：</w:t>
      </w:r>
    </w:p>
    <w:p w14:paraId="053AFDD3">
      <w:pPr>
        <w:spacing w:line="380" w:lineRule="exact"/>
        <w:rPr>
          <w:rFonts w:eastAsia="楷体_GB2312"/>
          <w:sz w:val="24"/>
        </w:rPr>
      </w:pPr>
      <w:r>
        <w:rPr>
          <w:rFonts w:eastAsia="楷体_GB2312"/>
          <w:sz w:val="24"/>
        </w:rPr>
        <w:t>抵押人名称/姓名：</w:t>
      </w:r>
    </w:p>
    <w:p w14:paraId="43282A1F">
      <w:pPr>
        <w:spacing w:line="380" w:lineRule="exact"/>
        <w:rPr>
          <w:rFonts w:eastAsia="楷体_GB2312"/>
          <w:sz w:val="24"/>
        </w:rPr>
      </w:pPr>
      <w:r>
        <w:rPr>
          <w:rFonts w:eastAsia="楷体_GB2312"/>
          <w:sz w:val="24"/>
        </w:rPr>
        <w:t>抵押物所在地：</w:t>
      </w:r>
    </w:p>
    <w:p w14:paraId="76E4B004">
      <w:pPr>
        <w:spacing w:line="380" w:lineRule="exact"/>
        <w:rPr>
          <w:rFonts w:eastAsia="楷体_GB2312"/>
          <w:sz w:val="24"/>
        </w:rPr>
      </w:pPr>
      <w:r>
        <w:rPr>
          <w:rFonts w:eastAsia="楷体_GB2312"/>
          <w:sz w:val="24"/>
        </w:rPr>
        <w:t>质押合同编号：</w:t>
      </w:r>
    </w:p>
    <w:p w14:paraId="3E41719B">
      <w:pPr>
        <w:spacing w:line="380" w:lineRule="exact"/>
        <w:rPr>
          <w:rFonts w:eastAsia="楷体_GB2312"/>
          <w:sz w:val="24"/>
        </w:rPr>
      </w:pPr>
      <w:r>
        <w:rPr>
          <w:rFonts w:eastAsia="楷体_GB2312"/>
          <w:sz w:val="24"/>
        </w:rPr>
        <w:t>出质人名称/姓名：</w:t>
      </w:r>
    </w:p>
    <w:p w14:paraId="6FB00D5D">
      <w:pPr>
        <w:spacing w:line="380" w:lineRule="exact"/>
        <w:rPr>
          <w:rFonts w:eastAsia="楷体_GB2312"/>
          <w:sz w:val="24"/>
        </w:rPr>
      </w:pPr>
      <w:r>
        <w:rPr>
          <w:rFonts w:eastAsia="楷体_GB2312"/>
          <w:sz w:val="24"/>
        </w:rPr>
        <w:t>质押财产：</w:t>
      </w:r>
    </w:p>
    <w:p w14:paraId="4FFDA29E">
      <w:pPr>
        <w:spacing w:line="380" w:lineRule="exact"/>
        <w:rPr>
          <w:rFonts w:eastAsia="楷体_GB2312"/>
          <w:sz w:val="24"/>
        </w:rPr>
      </w:pPr>
      <w:r>
        <w:rPr>
          <w:rFonts w:eastAsia="楷体_GB2312"/>
          <w:sz w:val="24"/>
        </w:rPr>
        <w:t>剩余本金余额：</w:t>
      </w:r>
    </w:p>
    <w:p w14:paraId="50546EB9">
      <w:pPr>
        <w:pStyle w:val="78"/>
        <w:numPr>
          <w:ilvl w:val="0"/>
          <w:numId w:val="30"/>
        </w:numPr>
        <w:spacing w:line="360" w:lineRule="exact"/>
        <w:ind w:firstLineChars="0"/>
        <w:jc w:val="center"/>
        <w:rPr>
          <w:rFonts w:eastAsia="楷体_GB2312"/>
          <w:b/>
          <w:sz w:val="24"/>
        </w:rPr>
      </w:pPr>
      <w:r>
        <w:rPr>
          <w:rFonts w:eastAsia="楷体_GB2312"/>
          <w:color w:val="000000"/>
          <w:sz w:val="24"/>
        </w:rPr>
        <w:br w:type="page"/>
      </w:r>
      <w:bookmarkStart w:id="852" w:name="_DV_M641"/>
      <w:bookmarkEnd w:id="852"/>
      <w:bookmarkStart w:id="853" w:name="_DV_M634"/>
      <w:bookmarkEnd w:id="853"/>
      <w:bookmarkStart w:id="854" w:name="_DV_M635"/>
      <w:bookmarkEnd w:id="854"/>
      <w:bookmarkStart w:id="855" w:name="_DV_M623"/>
      <w:bookmarkEnd w:id="855"/>
      <w:bookmarkStart w:id="856" w:name="_DV_M625"/>
      <w:bookmarkEnd w:id="856"/>
      <w:bookmarkStart w:id="857" w:name="_DV_M628"/>
      <w:bookmarkEnd w:id="857"/>
      <w:bookmarkStart w:id="858" w:name="_DV_M624"/>
      <w:bookmarkEnd w:id="858"/>
      <w:bookmarkStart w:id="859" w:name="_DV_M643"/>
      <w:bookmarkEnd w:id="859"/>
      <w:bookmarkStart w:id="860" w:name="_DV_M626"/>
      <w:bookmarkEnd w:id="860"/>
      <w:bookmarkStart w:id="861" w:name="_DV_M633"/>
      <w:bookmarkEnd w:id="861"/>
      <w:bookmarkStart w:id="862" w:name="_DV_M630"/>
      <w:bookmarkEnd w:id="862"/>
      <w:r>
        <w:rPr>
          <w:rFonts w:eastAsia="楷体_GB2312"/>
          <w:b/>
          <w:sz w:val="24"/>
        </w:rPr>
        <w:t>权利完善通知格式</w:t>
      </w:r>
    </w:p>
    <w:p w14:paraId="52289B8D">
      <w:pPr>
        <w:spacing w:line="380" w:lineRule="exact"/>
        <w:rPr>
          <w:rFonts w:eastAsia="楷体_GB2312"/>
          <w:b/>
          <w:sz w:val="24"/>
        </w:rPr>
      </w:pPr>
    </w:p>
    <w:p w14:paraId="7AE46316">
      <w:pPr>
        <w:spacing w:line="380" w:lineRule="exact"/>
        <w:rPr>
          <w:rFonts w:eastAsia="楷体_GB2312"/>
          <w:sz w:val="24"/>
        </w:rPr>
      </w:pPr>
      <w:r>
        <w:rPr>
          <w:rFonts w:eastAsia="楷体_GB2312"/>
          <w:sz w:val="24"/>
        </w:rPr>
        <w:t>（适用于：1、通知对象为</w:t>
      </w:r>
      <w:r>
        <w:rPr>
          <w:rFonts w:eastAsia="楷体_GB2312"/>
          <w:color w:val="000000"/>
          <w:sz w:val="24"/>
        </w:rPr>
        <w:t>“保证人”、</w:t>
      </w:r>
      <w:r>
        <w:rPr>
          <w:rFonts w:eastAsia="楷体_GB2312"/>
          <w:sz w:val="24"/>
        </w:rPr>
        <w:t>与“借款人”非同一人的“抵押人”/“出质人”；2、由“【发起机构简称】”通知。）</w:t>
      </w:r>
    </w:p>
    <w:p w14:paraId="26BA2E4B">
      <w:pPr>
        <w:spacing w:line="380" w:lineRule="exact"/>
        <w:rPr>
          <w:rFonts w:eastAsia="楷体_GB2312"/>
          <w:b/>
          <w:sz w:val="24"/>
        </w:rPr>
      </w:pPr>
    </w:p>
    <w:p w14:paraId="4F8EAAEB">
      <w:pPr>
        <w:spacing w:line="380" w:lineRule="exact"/>
        <w:rPr>
          <w:rFonts w:eastAsia="楷体_GB2312"/>
          <w:b/>
          <w:sz w:val="24"/>
        </w:rPr>
      </w:pPr>
      <w:r>
        <w:rPr>
          <w:rFonts w:eastAsia="楷体_GB2312"/>
          <w:b/>
          <w:sz w:val="24"/>
        </w:rPr>
        <w:t>致：【相关“保证人”/“抵押人”/“出质人”的名称/姓名和注册地址】</w:t>
      </w:r>
    </w:p>
    <w:p w14:paraId="2F3FD1A3">
      <w:pPr>
        <w:spacing w:line="360" w:lineRule="auto"/>
        <w:rPr>
          <w:rFonts w:eastAsia="楷体_GB2312"/>
          <w:b/>
          <w:color w:val="000000"/>
          <w:sz w:val="24"/>
        </w:rPr>
      </w:pPr>
      <w:r>
        <w:rPr>
          <w:rFonts w:eastAsia="楷体_GB2312"/>
          <w:b/>
          <w:color w:val="000000"/>
          <w:sz w:val="24"/>
        </w:rPr>
        <w:t>抄送：【受托机构全称】</w:t>
      </w:r>
    </w:p>
    <w:p w14:paraId="3E5A3301">
      <w:pPr>
        <w:spacing w:line="380" w:lineRule="exact"/>
        <w:rPr>
          <w:rFonts w:eastAsia="楷体_GB2312"/>
          <w:b/>
          <w:sz w:val="24"/>
        </w:rPr>
      </w:pPr>
      <w:r>
        <w:rPr>
          <w:rFonts w:eastAsia="楷体_GB2312"/>
          <w:b/>
          <w:sz w:val="24"/>
        </w:rPr>
        <w:t>日期_______________</w:t>
      </w:r>
    </w:p>
    <w:p w14:paraId="25639092">
      <w:pPr>
        <w:spacing w:line="380" w:lineRule="exact"/>
        <w:rPr>
          <w:rFonts w:eastAsia="楷体_GB2312"/>
          <w:b/>
          <w:sz w:val="24"/>
        </w:rPr>
      </w:pPr>
    </w:p>
    <w:p w14:paraId="77ADF765">
      <w:pPr>
        <w:spacing w:line="380" w:lineRule="exact"/>
        <w:rPr>
          <w:rFonts w:eastAsia="楷体_GB2312"/>
          <w:b/>
          <w:sz w:val="24"/>
        </w:rPr>
      </w:pPr>
      <w:r>
        <w:rPr>
          <w:rFonts w:eastAsia="楷体_GB2312"/>
          <w:b/>
          <w:sz w:val="24"/>
        </w:rPr>
        <w:t>敬启者</w:t>
      </w:r>
    </w:p>
    <w:p w14:paraId="67F8CD08">
      <w:pPr>
        <w:spacing w:line="380" w:lineRule="exact"/>
        <w:rPr>
          <w:rFonts w:eastAsia="楷体_GB2312"/>
          <w:sz w:val="24"/>
        </w:rPr>
      </w:pPr>
    </w:p>
    <w:p w14:paraId="4EDEA91C">
      <w:pPr>
        <w:spacing w:line="380" w:lineRule="exact"/>
        <w:rPr>
          <w:rFonts w:eastAsia="楷体_GB2312"/>
          <w:sz w:val="24"/>
        </w:rPr>
      </w:pPr>
      <w:r>
        <w:rPr>
          <w:rFonts w:eastAsia="楷体_GB2312"/>
          <w:sz w:val="24"/>
        </w:rPr>
        <w:t>根据【发起机构全称】（“【发起机构简称】”）与【受托机构全称】签署的编号为【信托合同编号】的《【信托名称】之信托合同》（“《信托合同》”）、【发起机构简称】和【受托机构全称】于【</w:t>
      </w:r>
      <w:r>
        <w:rPr>
          <w:rFonts w:eastAsia="楷体_GB2312"/>
          <w:i/>
          <w:sz w:val="24"/>
        </w:rPr>
        <w:t>日期</w:t>
      </w:r>
      <w:r>
        <w:rPr>
          <w:rFonts w:eastAsia="楷体_GB2312"/>
          <w:sz w:val="24"/>
        </w:rPr>
        <w:t>】在【</w:t>
      </w:r>
      <w:r>
        <w:rPr>
          <w:rFonts w:eastAsia="楷体_GB2312"/>
          <w:i/>
          <w:sz w:val="24"/>
        </w:rPr>
        <w:t>公共媒体</w:t>
      </w:r>
      <w:r>
        <w:rPr>
          <w:rFonts w:eastAsia="楷体_GB2312"/>
          <w:sz w:val="24"/>
        </w:rPr>
        <w:t>】刊登的信托公告（“信托公告”），【发起机构简称】已将包括您提供担保的贷款（具体信息见本通知附件）在内的特定贷款债权及其附属权益（现有的和将来的、实际的和或有的）全部信托予/转让给【受托机构全称】。</w:t>
      </w:r>
    </w:p>
    <w:p w14:paraId="4F0A8504">
      <w:pPr>
        <w:spacing w:line="380" w:lineRule="exact"/>
        <w:rPr>
          <w:rFonts w:eastAsia="楷体_GB2312"/>
          <w:sz w:val="24"/>
        </w:rPr>
      </w:pPr>
    </w:p>
    <w:p w14:paraId="619DCF3B">
      <w:pPr>
        <w:spacing w:line="380" w:lineRule="exact"/>
        <w:rPr>
          <w:rFonts w:eastAsia="楷体_GB2312"/>
          <w:sz w:val="24"/>
        </w:rPr>
      </w:pPr>
      <w:r>
        <w:rPr>
          <w:rFonts w:eastAsia="楷体_GB2312"/>
          <w:sz w:val="24"/>
        </w:rPr>
        <w:t>自【</w:t>
      </w:r>
      <w:r>
        <w:rPr>
          <w:rFonts w:eastAsia="楷体_GB2312"/>
          <w:i/>
          <w:sz w:val="24"/>
        </w:rPr>
        <w:t>日期</w:t>
      </w:r>
      <w:r>
        <w:rPr>
          <w:rFonts w:eastAsia="楷体_GB2312"/>
          <w:sz w:val="24"/>
        </w:rPr>
        <w:t>】起，与该笔贷款及相关附属权益有关的所有权利，均由【受托机构全称】（为资产支持证券持有人的利益）行使，【发起机构简称】有义务继续履行其在与您的《保证合同》/《抵押合同》/《质押合同》中应承担的义务。该项转让行为并未改变【发起机构简称】与借款人签署的《借款合同》的其他内容，不会给您的利益带来不利影响；您应继续履行原《保证合同》/《抵押合同》/《质押合同》项下的担保义务。</w:t>
      </w:r>
    </w:p>
    <w:p w14:paraId="7E23F008">
      <w:pPr>
        <w:spacing w:line="360" w:lineRule="auto"/>
        <w:rPr>
          <w:rFonts w:eastAsia="楷体_GB2312"/>
          <w:i/>
          <w:iCs/>
          <w:color w:val="000000"/>
          <w:sz w:val="24"/>
        </w:rPr>
      </w:pPr>
    </w:p>
    <w:p w14:paraId="43BC6ECC">
      <w:pPr>
        <w:spacing w:line="360" w:lineRule="auto"/>
        <w:rPr>
          <w:rFonts w:eastAsia="楷体_GB2312"/>
          <w:color w:val="000000"/>
          <w:sz w:val="24"/>
        </w:rPr>
      </w:pPr>
      <w:r>
        <w:rPr>
          <w:rFonts w:eastAsia="楷体_GB2312"/>
          <w:i/>
          <w:iCs/>
          <w:color w:val="000000"/>
          <w:sz w:val="24"/>
        </w:rPr>
        <w:t>（本段不适用于“权利完善事件”</w:t>
      </w:r>
      <w:bookmarkStart w:id="863" w:name="_Hlk221182660"/>
      <w:r>
        <w:rPr>
          <w:rFonts w:eastAsia="楷体_GB2312"/>
          <w:i/>
          <w:iCs/>
          <w:color w:val="000000"/>
          <w:sz w:val="24"/>
        </w:rPr>
        <w:t>(a)项及(</w:t>
      </w:r>
      <w:r>
        <w:rPr>
          <w:rFonts w:hint="eastAsia" w:eastAsia="楷体_GB2312"/>
          <w:i/>
          <w:iCs/>
          <w:color w:val="000000"/>
          <w:sz w:val="24"/>
        </w:rPr>
        <w:t>d</w:t>
      </w:r>
      <w:r>
        <w:rPr>
          <w:rFonts w:eastAsia="楷体_GB2312"/>
          <w:i/>
          <w:iCs/>
          <w:color w:val="000000"/>
          <w:sz w:val="24"/>
        </w:rPr>
        <w:t>)项）</w:t>
      </w:r>
      <w:bookmarkEnd w:id="863"/>
      <w:r>
        <w:rPr>
          <w:rFonts w:eastAsia="楷体_GB2312"/>
          <w:color w:val="000000"/>
          <w:sz w:val="24"/>
        </w:rPr>
        <w:t>根据【发起机构简称】与【</w:t>
      </w:r>
      <w:r>
        <w:rPr>
          <w:rFonts w:hint="eastAsia" w:eastAsia="楷体_GB2312"/>
          <w:color w:val="000000"/>
          <w:sz w:val="24"/>
        </w:rPr>
        <w:t>贷款服务机构</w:t>
      </w:r>
      <w:r>
        <w:rPr>
          <w:rFonts w:eastAsia="楷体_GB2312"/>
          <w:color w:val="000000"/>
          <w:sz w:val="24"/>
        </w:rPr>
        <w:t>全称】于【】年【】月【】日签署的编号为【服务合同编号】的《</w:t>
      </w:r>
      <w:r>
        <w:rPr>
          <w:rFonts w:eastAsia="楷体_GB2312"/>
          <w:sz w:val="24"/>
        </w:rPr>
        <w:t>【信托名称】</w:t>
      </w:r>
      <w:r>
        <w:rPr>
          <w:rFonts w:eastAsia="楷体_GB2312"/>
          <w:color w:val="000000"/>
          <w:sz w:val="24"/>
        </w:rPr>
        <w:t>服务合同》（“《服务合同》”），【受托机构全称】已委托【</w:t>
      </w:r>
      <w:r>
        <w:rPr>
          <w:rFonts w:hint="eastAsia" w:eastAsia="楷体_GB2312"/>
          <w:color w:val="000000"/>
          <w:sz w:val="24"/>
        </w:rPr>
        <w:t>贷款服务机构全称</w:t>
      </w:r>
      <w:r>
        <w:rPr>
          <w:rFonts w:eastAsia="楷体_GB2312"/>
          <w:color w:val="000000"/>
          <w:sz w:val="24"/>
        </w:rPr>
        <w:t>】担任您所担保的该笔贷款的贷款服务机构，继续处理与您所担保的该笔贷款相关的未来回收工作（包括根据</w:t>
      </w:r>
      <w:r>
        <w:rPr>
          <w:rFonts w:eastAsia="楷体_GB2312"/>
          <w:sz w:val="24"/>
        </w:rPr>
        <w:t>《保证合同》/《抵押合同》/《质押合同》</w:t>
      </w:r>
      <w:r>
        <w:rPr>
          <w:rFonts w:eastAsia="楷体_GB2312"/>
          <w:color w:val="000000"/>
          <w:sz w:val="24"/>
        </w:rPr>
        <w:t>的约定向您主张权利），直到贷款的款项全部还清或我们向您发出进一步通知。</w:t>
      </w:r>
    </w:p>
    <w:p w14:paraId="2EF366BF">
      <w:pPr>
        <w:spacing w:line="380" w:lineRule="exact"/>
        <w:rPr>
          <w:rFonts w:eastAsia="楷体_GB2312"/>
          <w:sz w:val="24"/>
        </w:rPr>
      </w:pPr>
    </w:p>
    <w:p w14:paraId="4AB970AC">
      <w:pPr>
        <w:spacing w:line="380" w:lineRule="exact"/>
        <w:rPr>
          <w:rFonts w:eastAsia="楷体_GB2312"/>
          <w:sz w:val="24"/>
        </w:rPr>
      </w:pPr>
      <w:r>
        <w:rPr>
          <w:rFonts w:eastAsia="楷体_GB2312"/>
          <w:sz w:val="24"/>
        </w:rPr>
        <w:t>自【</w:t>
      </w:r>
      <w:r>
        <w:rPr>
          <w:rFonts w:eastAsia="楷体_GB2312"/>
          <w:i/>
          <w:sz w:val="24"/>
        </w:rPr>
        <w:t>日期</w:t>
      </w:r>
      <w:r>
        <w:rPr>
          <w:rFonts w:eastAsia="楷体_GB2312"/>
          <w:sz w:val="24"/>
        </w:rPr>
        <w:t>】起，您履行保证/抵押/质押担保责任时，应向如下“信托账户”还款，直到贷款全部还清或我们向您发出进一步通知。</w:t>
      </w:r>
    </w:p>
    <w:p w14:paraId="472454AB">
      <w:pPr>
        <w:spacing w:line="380" w:lineRule="exact"/>
        <w:rPr>
          <w:rFonts w:eastAsia="楷体_GB2312"/>
          <w:sz w:val="24"/>
        </w:rPr>
      </w:pPr>
    </w:p>
    <w:p w14:paraId="57D10A52">
      <w:pPr>
        <w:spacing w:line="380" w:lineRule="exact"/>
        <w:rPr>
          <w:rFonts w:eastAsia="楷体_GB2312"/>
          <w:sz w:val="24"/>
        </w:rPr>
      </w:pPr>
      <w:r>
        <w:rPr>
          <w:rFonts w:eastAsia="楷体_GB2312"/>
          <w:sz w:val="24"/>
        </w:rPr>
        <w:t>“信托账户”的信息如下：</w:t>
      </w:r>
    </w:p>
    <w:p w14:paraId="0985E2B4">
      <w:pPr>
        <w:spacing w:line="380" w:lineRule="exact"/>
        <w:rPr>
          <w:rFonts w:eastAsia="楷体_GB2312"/>
          <w:sz w:val="24"/>
        </w:rPr>
      </w:pPr>
      <w:r>
        <w:rPr>
          <w:rFonts w:eastAsia="楷体_GB2312"/>
          <w:sz w:val="24"/>
        </w:rPr>
        <w:t>账号：【】</w:t>
      </w:r>
    </w:p>
    <w:p w14:paraId="7056D0FB">
      <w:pPr>
        <w:spacing w:line="380" w:lineRule="exact"/>
        <w:rPr>
          <w:rFonts w:eastAsia="楷体_GB2312"/>
          <w:sz w:val="24"/>
        </w:rPr>
      </w:pPr>
      <w:r>
        <w:rPr>
          <w:rFonts w:eastAsia="楷体_GB2312"/>
          <w:sz w:val="24"/>
        </w:rPr>
        <w:t>户名：【】</w:t>
      </w:r>
    </w:p>
    <w:p w14:paraId="4D9C12DC">
      <w:pPr>
        <w:spacing w:line="380" w:lineRule="exact"/>
        <w:rPr>
          <w:rFonts w:eastAsia="楷体_GB2312"/>
          <w:sz w:val="24"/>
        </w:rPr>
      </w:pPr>
      <w:r>
        <w:rPr>
          <w:rFonts w:eastAsia="楷体_GB2312"/>
          <w:sz w:val="24"/>
        </w:rPr>
        <w:t>开户行：【】</w:t>
      </w:r>
    </w:p>
    <w:p w14:paraId="778C6E7D">
      <w:pPr>
        <w:spacing w:line="380" w:lineRule="exact"/>
        <w:rPr>
          <w:rFonts w:eastAsia="楷体_GB2312"/>
          <w:sz w:val="24"/>
        </w:rPr>
      </w:pPr>
      <w:r>
        <w:rPr>
          <w:rFonts w:eastAsia="楷体_GB2312"/>
          <w:sz w:val="24"/>
        </w:rPr>
        <w:t>大额支付号：【】</w:t>
      </w:r>
    </w:p>
    <w:p w14:paraId="6177B92E">
      <w:pPr>
        <w:spacing w:line="380" w:lineRule="exact"/>
        <w:rPr>
          <w:rFonts w:eastAsia="楷体_GB2312"/>
          <w:sz w:val="24"/>
        </w:rPr>
      </w:pPr>
    </w:p>
    <w:p w14:paraId="4907F8A5">
      <w:pPr>
        <w:spacing w:line="380" w:lineRule="exact"/>
        <w:rPr>
          <w:rFonts w:eastAsia="楷体_GB2312"/>
          <w:sz w:val="24"/>
        </w:rPr>
      </w:pPr>
      <w:r>
        <w:rPr>
          <w:rFonts w:eastAsia="楷体_GB2312"/>
          <w:sz w:val="24"/>
        </w:rPr>
        <w:t>如果您对本通知内容或您所担保的贷款的转让有任何问题，请按如下方式进行查询：</w:t>
      </w:r>
    </w:p>
    <w:p w14:paraId="51DAB119">
      <w:pPr>
        <w:spacing w:line="380" w:lineRule="exact"/>
        <w:rPr>
          <w:rFonts w:eastAsia="楷体_GB2312"/>
          <w:sz w:val="24"/>
        </w:rPr>
      </w:pPr>
    </w:p>
    <w:p w14:paraId="4DC90025">
      <w:pPr>
        <w:spacing w:line="380" w:lineRule="exact"/>
        <w:rPr>
          <w:rFonts w:eastAsia="楷体_GB2312"/>
          <w:sz w:val="24"/>
        </w:rPr>
      </w:pPr>
      <w:r>
        <w:rPr>
          <w:rFonts w:eastAsia="楷体_GB2312"/>
          <w:sz w:val="24"/>
        </w:rPr>
        <w:t>联系地址：</w:t>
      </w:r>
      <w:r>
        <w:rPr>
          <w:rFonts w:eastAsia="楷体_GB2312"/>
          <w:sz w:val="24"/>
        </w:rPr>
        <w:br w:type="textWrapping"/>
      </w:r>
      <w:r>
        <w:rPr>
          <w:rFonts w:eastAsia="楷体_GB2312"/>
          <w:sz w:val="24"/>
        </w:rPr>
        <w:t>联系人：</w:t>
      </w:r>
      <w:r>
        <w:rPr>
          <w:rFonts w:eastAsia="楷体_GB2312"/>
          <w:sz w:val="24"/>
        </w:rPr>
        <w:br w:type="textWrapping"/>
      </w:r>
      <w:r>
        <w:rPr>
          <w:rFonts w:eastAsia="楷体_GB2312"/>
          <w:sz w:val="24"/>
        </w:rPr>
        <w:t>联系电话：</w:t>
      </w:r>
      <w:r>
        <w:rPr>
          <w:rFonts w:eastAsia="楷体_GB2312"/>
          <w:sz w:val="24"/>
        </w:rPr>
        <w:br w:type="textWrapping"/>
      </w:r>
      <w:r>
        <w:rPr>
          <w:rFonts w:eastAsia="楷体_GB2312"/>
          <w:sz w:val="24"/>
        </w:rPr>
        <w:t>传真：</w:t>
      </w:r>
    </w:p>
    <w:p w14:paraId="33177325">
      <w:pPr>
        <w:spacing w:line="380" w:lineRule="exact"/>
        <w:rPr>
          <w:rFonts w:eastAsia="楷体_GB2312"/>
          <w:sz w:val="24"/>
        </w:rPr>
      </w:pPr>
    </w:p>
    <w:p w14:paraId="25A914E8">
      <w:pPr>
        <w:spacing w:line="380" w:lineRule="exact"/>
        <w:rPr>
          <w:rFonts w:eastAsia="楷体_GB2312"/>
          <w:sz w:val="24"/>
        </w:rPr>
      </w:pPr>
    </w:p>
    <w:p w14:paraId="6293C02D">
      <w:pPr>
        <w:spacing w:line="380" w:lineRule="exact"/>
        <w:rPr>
          <w:rFonts w:eastAsia="楷体_GB2312"/>
          <w:b/>
          <w:sz w:val="24"/>
        </w:rPr>
      </w:pPr>
      <w:r>
        <w:rPr>
          <w:rFonts w:eastAsia="楷体_GB2312"/>
          <w:b/>
          <w:sz w:val="24"/>
        </w:rPr>
        <w:t>【发起机构全称】</w:t>
      </w:r>
      <w:r>
        <w:rPr>
          <w:rFonts w:eastAsia="楷体_GB2312"/>
          <w:sz w:val="24"/>
        </w:rPr>
        <w:t>（作为“委托人”、“发起机构”）（公章）</w:t>
      </w:r>
    </w:p>
    <w:p w14:paraId="59406B84">
      <w:pPr>
        <w:spacing w:line="380" w:lineRule="exact"/>
        <w:rPr>
          <w:rFonts w:eastAsia="楷体_GB2312"/>
          <w:sz w:val="24"/>
        </w:rPr>
      </w:pPr>
    </w:p>
    <w:p w14:paraId="176999BF">
      <w:pPr>
        <w:spacing w:line="380" w:lineRule="exact"/>
        <w:rPr>
          <w:rFonts w:eastAsia="楷体_GB2312"/>
          <w:sz w:val="24"/>
        </w:rPr>
      </w:pPr>
      <w:r>
        <w:rPr>
          <w:rFonts w:eastAsia="楷体_GB2312"/>
          <w:sz w:val="24"/>
        </w:rPr>
        <w:t>法定代表人或授权代理人：</w:t>
      </w:r>
    </w:p>
    <w:p w14:paraId="493BF25A">
      <w:pPr>
        <w:spacing w:line="380" w:lineRule="exact"/>
        <w:rPr>
          <w:rFonts w:eastAsia="楷体_GB2312"/>
          <w:sz w:val="24"/>
        </w:rPr>
      </w:pPr>
    </w:p>
    <w:p w14:paraId="1BCD48DB">
      <w:pPr>
        <w:spacing w:line="380" w:lineRule="exact"/>
        <w:rPr>
          <w:rFonts w:eastAsia="楷体_GB2312"/>
          <w:sz w:val="24"/>
        </w:rPr>
      </w:pPr>
      <w:r>
        <w:rPr>
          <w:rFonts w:eastAsia="楷体_GB2312"/>
          <w:sz w:val="24"/>
        </w:rPr>
        <w:t>签署日期：【】年【】月【】日</w:t>
      </w:r>
    </w:p>
    <w:p w14:paraId="2D70AB16">
      <w:pPr>
        <w:spacing w:line="380" w:lineRule="exact"/>
        <w:rPr>
          <w:rFonts w:eastAsia="楷体_GB2312"/>
          <w:sz w:val="24"/>
        </w:rPr>
      </w:pPr>
    </w:p>
    <w:p w14:paraId="5660474E">
      <w:pPr>
        <w:spacing w:line="380" w:lineRule="exact"/>
        <w:rPr>
          <w:rFonts w:eastAsia="楷体_GB2312"/>
          <w:b/>
          <w:sz w:val="24"/>
        </w:rPr>
      </w:pPr>
      <w:r>
        <w:rPr>
          <w:rFonts w:eastAsia="楷体_GB2312"/>
          <w:b/>
          <w:sz w:val="24"/>
        </w:rPr>
        <w:t>附件：</w:t>
      </w:r>
    </w:p>
    <w:p w14:paraId="469C4CC8">
      <w:pPr>
        <w:spacing w:line="380" w:lineRule="exact"/>
        <w:rPr>
          <w:rFonts w:eastAsia="楷体_GB2312"/>
          <w:sz w:val="24"/>
        </w:rPr>
      </w:pPr>
      <w:r>
        <w:rPr>
          <w:rFonts w:eastAsia="楷体_GB2312"/>
          <w:sz w:val="24"/>
        </w:rPr>
        <w:t>借款合同编号：</w:t>
      </w:r>
    </w:p>
    <w:p w14:paraId="753A7F80">
      <w:pPr>
        <w:spacing w:line="380" w:lineRule="exact"/>
        <w:rPr>
          <w:rFonts w:eastAsia="楷体_GB2312"/>
          <w:sz w:val="24"/>
        </w:rPr>
      </w:pPr>
      <w:r>
        <w:rPr>
          <w:rFonts w:eastAsia="楷体_GB2312"/>
          <w:sz w:val="24"/>
        </w:rPr>
        <w:t>借款人名称/姓名：</w:t>
      </w:r>
    </w:p>
    <w:p w14:paraId="603A5273">
      <w:pPr>
        <w:spacing w:line="380" w:lineRule="exact"/>
        <w:rPr>
          <w:rFonts w:eastAsia="楷体_GB2312"/>
          <w:sz w:val="24"/>
        </w:rPr>
      </w:pPr>
      <w:r>
        <w:rPr>
          <w:rFonts w:eastAsia="楷体_GB2312"/>
          <w:sz w:val="24"/>
        </w:rPr>
        <w:t>保证合同编号：</w:t>
      </w:r>
    </w:p>
    <w:p w14:paraId="3879F6D8">
      <w:pPr>
        <w:spacing w:line="380" w:lineRule="exact"/>
        <w:rPr>
          <w:rFonts w:eastAsia="楷体_GB2312"/>
          <w:sz w:val="24"/>
        </w:rPr>
      </w:pPr>
      <w:r>
        <w:rPr>
          <w:rFonts w:eastAsia="楷体_GB2312"/>
          <w:sz w:val="24"/>
        </w:rPr>
        <w:t>保证人名称/姓名：</w:t>
      </w:r>
    </w:p>
    <w:p w14:paraId="39FF99FB">
      <w:pPr>
        <w:spacing w:line="380" w:lineRule="exact"/>
        <w:rPr>
          <w:rFonts w:eastAsia="楷体_GB2312"/>
          <w:sz w:val="24"/>
        </w:rPr>
      </w:pPr>
      <w:r>
        <w:rPr>
          <w:rFonts w:eastAsia="楷体_GB2312"/>
          <w:sz w:val="24"/>
        </w:rPr>
        <w:t>抵押合同编号：</w:t>
      </w:r>
    </w:p>
    <w:p w14:paraId="1DC30009">
      <w:pPr>
        <w:spacing w:line="380" w:lineRule="exact"/>
        <w:rPr>
          <w:rFonts w:eastAsia="楷体_GB2312"/>
          <w:sz w:val="24"/>
        </w:rPr>
      </w:pPr>
      <w:r>
        <w:rPr>
          <w:rFonts w:eastAsia="楷体_GB2312"/>
          <w:sz w:val="24"/>
        </w:rPr>
        <w:t>抵押人名称/姓名：</w:t>
      </w:r>
    </w:p>
    <w:p w14:paraId="5CE5288B">
      <w:pPr>
        <w:spacing w:line="380" w:lineRule="exact"/>
        <w:rPr>
          <w:rFonts w:eastAsia="楷体_GB2312"/>
          <w:sz w:val="24"/>
        </w:rPr>
      </w:pPr>
      <w:r>
        <w:rPr>
          <w:rFonts w:eastAsia="楷体_GB2312"/>
          <w:sz w:val="24"/>
        </w:rPr>
        <w:t>抵押物所在地：</w:t>
      </w:r>
    </w:p>
    <w:p w14:paraId="5E513D14">
      <w:pPr>
        <w:spacing w:line="380" w:lineRule="exact"/>
        <w:rPr>
          <w:rFonts w:eastAsia="楷体_GB2312"/>
          <w:sz w:val="24"/>
        </w:rPr>
      </w:pPr>
      <w:r>
        <w:rPr>
          <w:rFonts w:eastAsia="楷体_GB2312"/>
          <w:sz w:val="24"/>
        </w:rPr>
        <w:t>质押合同编号：</w:t>
      </w:r>
    </w:p>
    <w:p w14:paraId="6DA10746">
      <w:pPr>
        <w:spacing w:line="380" w:lineRule="exact"/>
        <w:rPr>
          <w:rFonts w:eastAsia="楷体_GB2312"/>
          <w:sz w:val="24"/>
        </w:rPr>
      </w:pPr>
      <w:r>
        <w:rPr>
          <w:rFonts w:eastAsia="楷体_GB2312"/>
          <w:sz w:val="24"/>
        </w:rPr>
        <w:t>出质人名称/姓名：</w:t>
      </w:r>
    </w:p>
    <w:p w14:paraId="55A0EE8E">
      <w:pPr>
        <w:spacing w:line="380" w:lineRule="exact"/>
        <w:rPr>
          <w:rFonts w:eastAsia="楷体_GB2312"/>
          <w:sz w:val="24"/>
        </w:rPr>
      </w:pPr>
      <w:r>
        <w:rPr>
          <w:rFonts w:eastAsia="楷体_GB2312"/>
          <w:sz w:val="24"/>
        </w:rPr>
        <w:t>质押财产：</w:t>
      </w:r>
    </w:p>
    <w:p w14:paraId="19ECAD9B">
      <w:pPr>
        <w:spacing w:line="380" w:lineRule="exact"/>
        <w:rPr>
          <w:rFonts w:eastAsia="楷体_GB2312"/>
          <w:sz w:val="24"/>
        </w:rPr>
      </w:pPr>
      <w:r>
        <w:rPr>
          <w:rFonts w:eastAsia="楷体_GB2312"/>
          <w:sz w:val="24"/>
        </w:rPr>
        <w:t>剩余本金余额：</w:t>
      </w:r>
    </w:p>
    <w:p w14:paraId="27CCDBFE">
      <w:pPr>
        <w:spacing w:line="380" w:lineRule="exact"/>
        <w:jc w:val="left"/>
        <w:outlineLvl w:val="0"/>
        <w:rPr>
          <w:rFonts w:eastAsia="楷体_GB2312"/>
          <w:b/>
          <w:sz w:val="24"/>
        </w:rPr>
      </w:pPr>
      <w:r>
        <w:rPr>
          <w:rFonts w:eastAsia="楷体_GB2312"/>
          <w:b/>
          <w:sz w:val="24"/>
        </w:rPr>
        <w:br w:type="page"/>
      </w:r>
      <w:bookmarkStart w:id="864" w:name="_Toc12866"/>
      <w:bookmarkStart w:id="865" w:name="_Toc373951575"/>
      <w:r>
        <w:rPr>
          <w:rFonts w:eastAsia="楷体_GB2312"/>
          <w:b/>
          <w:sz w:val="24"/>
        </w:rPr>
        <w:t>附件四：授权书的格式</w:t>
      </w:r>
      <w:bookmarkEnd w:id="864"/>
      <w:bookmarkEnd w:id="865"/>
    </w:p>
    <w:p w14:paraId="79205A17">
      <w:pPr>
        <w:spacing w:line="380" w:lineRule="atLeast"/>
        <w:rPr>
          <w:rFonts w:eastAsia="楷体_GB2312"/>
          <w:sz w:val="24"/>
        </w:rPr>
      </w:pPr>
    </w:p>
    <w:p w14:paraId="692D14BF">
      <w:pPr>
        <w:jc w:val="center"/>
        <w:rPr>
          <w:rFonts w:eastAsia="楷体_GB2312"/>
          <w:b/>
          <w:sz w:val="24"/>
        </w:rPr>
      </w:pPr>
      <w:r>
        <w:rPr>
          <w:rFonts w:eastAsia="楷体_GB2312"/>
          <w:b/>
          <w:sz w:val="24"/>
        </w:rPr>
        <w:t>权利完善通知之授权书</w:t>
      </w:r>
    </w:p>
    <w:p w14:paraId="0181CEEA">
      <w:pPr>
        <w:jc w:val="center"/>
        <w:rPr>
          <w:rFonts w:eastAsia="楷体_GB2312"/>
          <w:sz w:val="24"/>
        </w:rPr>
      </w:pPr>
    </w:p>
    <w:p w14:paraId="6BEB8D38">
      <w:pPr>
        <w:spacing w:line="380" w:lineRule="exact"/>
        <w:rPr>
          <w:rFonts w:eastAsia="楷体_GB2312"/>
          <w:sz w:val="24"/>
        </w:rPr>
      </w:pPr>
      <w:r>
        <w:rPr>
          <w:rFonts w:eastAsia="楷体_GB2312"/>
          <w:color w:val="000000"/>
          <w:sz w:val="24"/>
        </w:rPr>
        <w:t>【受托机构全称】</w:t>
      </w:r>
      <w:r>
        <w:rPr>
          <w:rFonts w:eastAsia="楷体_GB2312"/>
          <w:sz w:val="24"/>
        </w:rPr>
        <w:t>：</w:t>
      </w:r>
    </w:p>
    <w:p w14:paraId="46958F9C">
      <w:pPr>
        <w:spacing w:line="380" w:lineRule="exact"/>
        <w:rPr>
          <w:rFonts w:eastAsia="楷体_GB2312"/>
          <w:sz w:val="24"/>
        </w:rPr>
      </w:pPr>
    </w:p>
    <w:p w14:paraId="72B33932">
      <w:pPr>
        <w:spacing w:line="380" w:lineRule="exact"/>
        <w:ind w:firstLine="420"/>
        <w:rPr>
          <w:rFonts w:eastAsia="楷体_GB2312"/>
          <w:sz w:val="24"/>
        </w:rPr>
      </w:pPr>
      <w:r>
        <w:rPr>
          <w:rFonts w:eastAsia="楷体_GB2312"/>
          <w:sz w:val="24"/>
        </w:rPr>
        <w:t>鉴于本行作为委托人，于【】年【】月【】日与贵公司签署了编号为【信托合同编号】的《</w:t>
      </w:r>
      <w:r>
        <w:rPr>
          <w:rFonts w:eastAsia="楷体_GB2312"/>
          <w:color w:val="000000"/>
          <w:sz w:val="24"/>
        </w:rPr>
        <w:t>【信托名称】之信托合同</w:t>
      </w:r>
      <w:r>
        <w:rPr>
          <w:rFonts w:eastAsia="楷体_GB2312"/>
          <w:sz w:val="24"/>
        </w:rPr>
        <w:t>》（“《信托合同》”），将“信贷资产”信托予贵公司，设立</w:t>
      </w:r>
      <w:r>
        <w:rPr>
          <w:rFonts w:eastAsia="楷体_GB2312"/>
          <w:color w:val="000000"/>
          <w:sz w:val="24"/>
        </w:rPr>
        <w:t>【信托名称】</w:t>
      </w:r>
      <w:r>
        <w:rPr>
          <w:rFonts w:eastAsia="楷体_GB2312"/>
          <w:sz w:val="24"/>
        </w:rPr>
        <w:t>（“信托”）。根据“《信托合同》”第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款的约定，发生“权利完善事件”</w:t>
      </w:r>
      <w:r>
        <w:rPr>
          <w:rFonts w:eastAsia="楷体_GB2312"/>
          <w:color w:val="000000"/>
          <w:sz w:val="24"/>
        </w:rPr>
        <w:t>后的【】个“工作日”内</w:t>
      </w:r>
      <w:r>
        <w:rPr>
          <w:rFonts w:eastAsia="楷体_GB2312"/>
          <w:sz w:val="24"/>
        </w:rPr>
        <w:t>或发生“《信托合同》”第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w:t>
      </w:r>
      <w:r>
        <w:rPr>
          <w:rFonts w:hint="eastAsia" w:eastAsia="楷体_GB2312"/>
          <w:sz w:val="24"/>
        </w:rPr>
        <w:t>第(3)</w:t>
      </w:r>
      <w:r>
        <w:rPr>
          <w:rFonts w:eastAsia="楷体_GB2312"/>
          <w:sz w:val="24"/>
        </w:rPr>
        <w:t>约定之情形时，本行应</w:t>
      </w:r>
      <w:r>
        <w:rPr>
          <w:rFonts w:eastAsia="楷体_GB2312"/>
          <w:color w:val="000000"/>
          <w:sz w:val="24"/>
        </w:rPr>
        <w:t>以挂号信或特快专递等方式</w:t>
      </w:r>
      <w:r>
        <w:rPr>
          <w:rFonts w:eastAsia="楷体_GB2312"/>
          <w:sz w:val="24"/>
        </w:rPr>
        <w:t>向相关的“借款人”、“担保人”（如有）发出“权利完善通知”（格式见“《信托合同》”附件三）。根据“《信托合同》”第</w:t>
      </w:r>
      <w:r>
        <w:rPr>
          <w:rFonts w:eastAsia="楷体_GB2312"/>
          <w:sz w:val="24"/>
        </w:rPr>
        <w:fldChar w:fldCharType="begin"/>
      </w:r>
      <w:r>
        <w:rPr>
          <w:rFonts w:eastAsia="楷体_GB2312"/>
          <w:sz w:val="24"/>
        </w:rPr>
        <w:instrText xml:space="preserve"> REF _Ref482277303 \r \h </w:instrText>
      </w:r>
      <w:r>
        <w:rPr>
          <w:rFonts w:eastAsia="楷体_GB2312"/>
          <w:sz w:val="24"/>
        </w:rPr>
        <w:fldChar w:fldCharType="separate"/>
      </w:r>
      <w:r>
        <w:rPr>
          <w:rFonts w:eastAsia="楷体_GB2312"/>
          <w:sz w:val="24"/>
        </w:rPr>
        <w:t>3.12.3</w:t>
      </w:r>
      <w:r>
        <w:rPr>
          <w:rFonts w:eastAsia="楷体_GB2312"/>
          <w:sz w:val="24"/>
        </w:rPr>
        <w:fldChar w:fldCharType="end"/>
      </w:r>
      <w:r>
        <w:rPr>
          <w:rFonts w:eastAsia="楷体_GB2312"/>
          <w:sz w:val="24"/>
        </w:rPr>
        <w:t>款的约定，本行在此无条件、不可撤销地向贵公司授权如下：</w:t>
      </w:r>
    </w:p>
    <w:p w14:paraId="60A63816">
      <w:pPr>
        <w:spacing w:line="380" w:lineRule="exact"/>
        <w:rPr>
          <w:rFonts w:eastAsia="楷体_GB2312"/>
          <w:sz w:val="24"/>
        </w:rPr>
      </w:pPr>
    </w:p>
    <w:p w14:paraId="63C286D2">
      <w:pPr>
        <w:spacing w:line="380" w:lineRule="exact"/>
        <w:ind w:firstLine="420"/>
        <w:rPr>
          <w:rFonts w:eastAsia="楷体_GB2312"/>
          <w:sz w:val="24"/>
        </w:rPr>
      </w:pPr>
      <w:r>
        <w:rPr>
          <w:rFonts w:eastAsia="楷体_GB2312"/>
          <w:sz w:val="24"/>
        </w:rPr>
        <w:t>如果本行未按照“《信托合同》”第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款的约定履行发送“权利完善通知”的义务，本行无条件、不可撤销地授权贵公司以本行的名义代为履行“《信托合同》”第</w:t>
      </w:r>
      <w:r>
        <w:rPr>
          <w:rFonts w:eastAsia="楷体_GB2312"/>
          <w:sz w:val="24"/>
        </w:rPr>
        <w:fldChar w:fldCharType="begin"/>
      </w:r>
      <w:r>
        <w:rPr>
          <w:rFonts w:eastAsia="楷体_GB2312"/>
          <w:sz w:val="24"/>
        </w:rPr>
        <w:instrText xml:space="preserve"> REF _Ref331768865 \r \h </w:instrText>
      </w:r>
      <w:r>
        <w:rPr>
          <w:rFonts w:eastAsia="楷体_GB2312"/>
          <w:sz w:val="24"/>
        </w:rPr>
        <w:fldChar w:fldCharType="separate"/>
      </w:r>
      <w:r>
        <w:rPr>
          <w:rFonts w:eastAsia="楷体_GB2312"/>
          <w:sz w:val="24"/>
        </w:rPr>
        <w:t>3.12.2</w:t>
      </w:r>
      <w:r>
        <w:rPr>
          <w:rFonts w:eastAsia="楷体_GB2312"/>
          <w:sz w:val="24"/>
        </w:rPr>
        <w:fldChar w:fldCharType="end"/>
      </w:r>
      <w:r>
        <w:rPr>
          <w:rFonts w:eastAsia="楷体_GB2312"/>
          <w:sz w:val="24"/>
        </w:rPr>
        <w:t>款约定的通知义务，并同意认可和确认贵公司根据本授权书合法做出的一切行为。</w:t>
      </w:r>
    </w:p>
    <w:p w14:paraId="38BB1688">
      <w:pPr>
        <w:spacing w:line="380" w:lineRule="exact"/>
        <w:ind w:firstLine="420"/>
        <w:rPr>
          <w:rFonts w:eastAsia="楷体_GB2312"/>
          <w:sz w:val="24"/>
        </w:rPr>
      </w:pPr>
    </w:p>
    <w:p w14:paraId="7C5C3CFD">
      <w:pPr>
        <w:spacing w:line="380" w:lineRule="exact"/>
        <w:ind w:firstLine="420"/>
        <w:rPr>
          <w:rFonts w:eastAsia="楷体_GB2312"/>
          <w:sz w:val="24"/>
        </w:rPr>
      </w:pPr>
      <w:r>
        <w:rPr>
          <w:rFonts w:eastAsia="楷体_GB2312"/>
          <w:sz w:val="24"/>
        </w:rPr>
        <w:t>除上下文特别说明以外，本授权书中所使用的词语，与编号为【主定义表编号】的《</w:t>
      </w:r>
      <w:r>
        <w:rPr>
          <w:rFonts w:eastAsia="楷体_GB2312"/>
          <w:color w:val="000000"/>
          <w:sz w:val="24"/>
        </w:rPr>
        <w:t>【信托名称】</w:t>
      </w:r>
      <w:r>
        <w:rPr>
          <w:rFonts w:eastAsia="楷体_GB2312"/>
          <w:sz w:val="24"/>
        </w:rPr>
        <w:t>主定义表》中所定义的相应词语，具有相同的含义。</w:t>
      </w:r>
    </w:p>
    <w:p w14:paraId="799CB117">
      <w:pPr>
        <w:spacing w:line="380" w:lineRule="exact"/>
        <w:ind w:firstLine="420"/>
        <w:rPr>
          <w:rFonts w:eastAsia="楷体_GB2312"/>
          <w:sz w:val="24"/>
        </w:rPr>
      </w:pPr>
    </w:p>
    <w:p w14:paraId="0B42B0E0">
      <w:pPr>
        <w:spacing w:line="380" w:lineRule="exact"/>
        <w:ind w:firstLine="420"/>
        <w:rPr>
          <w:rFonts w:eastAsia="楷体_GB2312"/>
          <w:sz w:val="24"/>
        </w:rPr>
      </w:pPr>
      <w:r>
        <w:rPr>
          <w:rFonts w:eastAsia="楷体_GB2312"/>
          <w:sz w:val="24"/>
        </w:rPr>
        <w:t>本授权书的有效期为自签署之日起至“信托终止日”止。</w:t>
      </w:r>
    </w:p>
    <w:p w14:paraId="18883C0C">
      <w:pPr>
        <w:spacing w:line="380" w:lineRule="exact"/>
        <w:rPr>
          <w:rFonts w:eastAsia="楷体_GB2312"/>
          <w:sz w:val="24"/>
        </w:rPr>
      </w:pPr>
    </w:p>
    <w:p w14:paraId="3D745474">
      <w:pPr>
        <w:spacing w:line="380" w:lineRule="exact"/>
        <w:rPr>
          <w:rFonts w:eastAsia="楷体_GB2312"/>
          <w:sz w:val="24"/>
        </w:rPr>
      </w:pPr>
    </w:p>
    <w:p w14:paraId="32D8B38B">
      <w:pPr>
        <w:wordWrap w:val="0"/>
        <w:spacing w:line="380" w:lineRule="exact"/>
        <w:jc w:val="right"/>
        <w:rPr>
          <w:rFonts w:eastAsia="楷体_GB2312"/>
          <w:b/>
          <w:sz w:val="24"/>
        </w:rPr>
      </w:pPr>
      <w:r>
        <w:rPr>
          <w:rFonts w:eastAsia="楷体_GB2312"/>
          <w:b/>
          <w:sz w:val="24"/>
        </w:rPr>
        <w:t>【发起机构全称】</w:t>
      </w:r>
      <w:r>
        <w:rPr>
          <w:rFonts w:eastAsia="楷体_GB2312"/>
          <w:color w:val="000000"/>
          <w:sz w:val="24"/>
        </w:rPr>
        <w:t>（公章）</w:t>
      </w:r>
    </w:p>
    <w:p w14:paraId="3E6CA753">
      <w:pPr>
        <w:spacing w:line="380" w:lineRule="exact"/>
        <w:jc w:val="right"/>
        <w:rPr>
          <w:rFonts w:eastAsia="楷体_GB2312"/>
          <w:b/>
          <w:sz w:val="24"/>
        </w:rPr>
      </w:pPr>
    </w:p>
    <w:p w14:paraId="695BEE19">
      <w:pPr>
        <w:wordWrap w:val="0"/>
        <w:spacing w:line="380" w:lineRule="exact"/>
        <w:jc w:val="right"/>
        <w:rPr>
          <w:rFonts w:eastAsia="楷体_GB2312"/>
          <w:b/>
          <w:sz w:val="24"/>
        </w:rPr>
      </w:pPr>
      <w:r>
        <w:rPr>
          <w:rFonts w:eastAsia="楷体_GB2312"/>
          <w:b/>
          <w:sz w:val="24"/>
        </w:rPr>
        <w:t>法定代表人或授权代理人</w:t>
      </w:r>
      <w:r>
        <w:rPr>
          <w:rFonts w:eastAsia="楷体_GB2312"/>
          <w:sz w:val="24"/>
        </w:rPr>
        <w:t xml:space="preserve">：          </w:t>
      </w:r>
    </w:p>
    <w:p w14:paraId="06CA11D9">
      <w:pPr>
        <w:spacing w:line="380" w:lineRule="exact"/>
        <w:jc w:val="right"/>
        <w:rPr>
          <w:rFonts w:eastAsia="楷体_GB2312"/>
          <w:b/>
          <w:sz w:val="24"/>
        </w:rPr>
      </w:pPr>
    </w:p>
    <w:p w14:paraId="111B605E">
      <w:pPr>
        <w:wordWrap w:val="0"/>
        <w:spacing w:line="380" w:lineRule="exact"/>
        <w:jc w:val="right"/>
        <w:rPr>
          <w:rFonts w:eastAsia="楷体_GB2312"/>
          <w:b/>
          <w:sz w:val="24"/>
        </w:rPr>
      </w:pPr>
      <w:r>
        <w:rPr>
          <w:rFonts w:eastAsia="楷体_GB2312"/>
          <w:b/>
          <w:sz w:val="24"/>
        </w:rPr>
        <w:t>年    月    日</w:t>
      </w:r>
    </w:p>
    <w:p w14:paraId="624CA1E8">
      <w:pPr>
        <w:spacing w:line="380" w:lineRule="atLeast"/>
        <w:rPr>
          <w:rFonts w:eastAsia="楷体_GB2312"/>
          <w:sz w:val="24"/>
        </w:rPr>
      </w:pPr>
    </w:p>
    <w:p w14:paraId="30EC1E1E">
      <w:pPr>
        <w:spacing w:line="380" w:lineRule="atLeast"/>
        <w:rPr>
          <w:rFonts w:eastAsia="楷体_GB2312"/>
          <w:sz w:val="24"/>
        </w:rPr>
      </w:pPr>
    </w:p>
    <w:p w14:paraId="6D4C40C2">
      <w:pPr>
        <w:spacing w:line="380" w:lineRule="atLeast"/>
        <w:outlineLvl w:val="0"/>
        <w:rPr>
          <w:rFonts w:eastAsia="楷体_GB2312"/>
          <w:b/>
          <w:sz w:val="24"/>
        </w:rPr>
      </w:pPr>
      <w:r>
        <w:rPr>
          <w:rFonts w:eastAsia="楷体_GB2312"/>
        </w:rPr>
        <w:br w:type="page"/>
      </w:r>
      <w:bookmarkStart w:id="866" w:name="_DV_M801"/>
      <w:bookmarkEnd w:id="866"/>
      <w:bookmarkStart w:id="867" w:name="_Toc11139647"/>
      <w:bookmarkEnd w:id="867"/>
      <w:bookmarkStart w:id="868" w:name="_Toc15369301"/>
      <w:bookmarkEnd w:id="868"/>
      <w:bookmarkStart w:id="869" w:name="_Toc473511390"/>
      <w:bookmarkEnd w:id="869"/>
      <w:bookmarkStart w:id="870" w:name="_DV_M803"/>
      <w:bookmarkEnd w:id="870"/>
      <w:bookmarkStart w:id="871" w:name="_Toc13816330"/>
      <w:bookmarkEnd w:id="871"/>
      <w:bookmarkStart w:id="872" w:name="_DV_M802"/>
      <w:bookmarkEnd w:id="872"/>
    </w:p>
    <w:p w14:paraId="215D46D8">
      <w:pPr>
        <w:spacing w:line="380" w:lineRule="atLeast"/>
        <w:outlineLvl w:val="0"/>
        <w:rPr>
          <w:rFonts w:eastAsia="楷体_GB2312"/>
          <w:b/>
          <w:sz w:val="24"/>
        </w:rPr>
      </w:pPr>
      <w:bookmarkStart w:id="873" w:name="_Toc51277243"/>
      <w:bookmarkStart w:id="874" w:name="_Toc373951576"/>
      <w:bookmarkStart w:id="875" w:name="_Toc18302"/>
      <w:r>
        <w:rPr>
          <w:rFonts w:eastAsia="楷体_GB2312"/>
          <w:b/>
          <w:sz w:val="24"/>
        </w:rPr>
        <w:t>附件五：资产支持证券本金还款金额计算方式</w:t>
      </w:r>
      <w:bookmarkEnd w:id="873"/>
      <w:bookmarkEnd w:id="874"/>
      <w:bookmarkEnd w:id="875"/>
    </w:p>
    <w:p w14:paraId="12738365">
      <w:pPr>
        <w:spacing w:line="380" w:lineRule="atLeast"/>
        <w:rPr>
          <w:rFonts w:eastAsia="楷体_GB2312"/>
          <w:sz w:val="24"/>
        </w:rPr>
      </w:pPr>
    </w:p>
    <w:p w14:paraId="748472A2">
      <w:pPr>
        <w:spacing w:line="380" w:lineRule="exact"/>
        <w:ind w:firstLine="480" w:firstLineChars="200"/>
        <w:rPr>
          <w:rFonts w:eastAsia="楷体_GB2312"/>
          <w:sz w:val="24"/>
        </w:rPr>
      </w:pPr>
      <w:r>
        <w:rPr>
          <w:rFonts w:eastAsia="楷体_GB2312"/>
          <w:sz w:val="24"/>
        </w:rPr>
        <w:t>任何一期（“本期”）的资产支持证券的本金还款金额按照如下方式计算：</w:t>
      </w:r>
    </w:p>
    <w:p w14:paraId="182EB2DB">
      <w:pPr>
        <w:spacing w:line="380" w:lineRule="exact"/>
        <w:ind w:firstLine="480" w:firstLineChars="200"/>
        <w:rPr>
          <w:rFonts w:eastAsia="楷体_GB2312"/>
          <w:sz w:val="24"/>
        </w:rPr>
      </w:pPr>
    </w:p>
    <w:p w14:paraId="529034BA">
      <w:pPr>
        <w:spacing w:line="380" w:lineRule="exact"/>
        <w:ind w:firstLine="480" w:firstLineChars="200"/>
        <w:rPr>
          <w:rFonts w:eastAsia="楷体_GB2312"/>
          <w:sz w:val="24"/>
        </w:rPr>
      </w:pPr>
      <w:r>
        <w:rPr>
          <w:rFonts w:eastAsia="楷体_GB2312"/>
          <w:sz w:val="24"/>
        </w:rPr>
        <w:t>本期每百元面额兑付本金额计算时采用去尾法取位到人民币分位，不做四舍五入进位，由此产生的本金还款金额余额部分转存下一期（“转存下期本金还款金额”），与下一期本金还款金额合并后，计算该下一期本金还款金额。以后各期的本金还款金额计算依此类推。</w:t>
      </w:r>
    </w:p>
    <w:p w14:paraId="0143B41E">
      <w:pPr>
        <w:spacing w:line="380" w:lineRule="exact"/>
        <w:rPr>
          <w:rFonts w:eastAsia="楷体_GB2312"/>
          <w:sz w:val="24"/>
        </w:rPr>
      </w:pPr>
    </w:p>
    <w:tbl>
      <w:tblPr>
        <w:tblStyle w:val="27"/>
        <w:tblW w:w="8306" w:type="dxa"/>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2207"/>
        <w:gridCol w:w="960"/>
        <w:gridCol w:w="1110"/>
        <w:gridCol w:w="1845"/>
      </w:tblGrid>
      <w:tr w14:paraId="272EEA04">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Borders>
              <w:bottom w:val="single" w:color="008000" w:sz="6" w:space="0"/>
            </w:tcBorders>
          </w:tcPr>
          <w:p w14:paraId="1D618FA2">
            <w:pPr>
              <w:spacing w:line="380" w:lineRule="exact"/>
              <w:rPr>
                <w:rFonts w:eastAsia="楷体_GB2312"/>
                <w:sz w:val="24"/>
              </w:rPr>
            </w:pPr>
          </w:p>
        </w:tc>
        <w:tc>
          <w:tcPr>
            <w:tcW w:w="2207" w:type="dxa"/>
            <w:tcBorders>
              <w:bottom w:val="single" w:color="008000" w:sz="6" w:space="0"/>
            </w:tcBorders>
          </w:tcPr>
          <w:p w14:paraId="42CFFE30">
            <w:pPr>
              <w:spacing w:line="380" w:lineRule="exact"/>
              <w:rPr>
                <w:rFonts w:eastAsia="楷体_GB2312"/>
                <w:sz w:val="24"/>
              </w:rPr>
            </w:pPr>
            <w:r>
              <w:rPr>
                <w:rFonts w:eastAsia="楷体_GB2312"/>
                <w:sz w:val="24"/>
              </w:rPr>
              <w:t>优先A档资产支持证券</w:t>
            </w:r>
          </w:p>
        </w:tc>
        <w:tc>
          <w:tcPr>
            <w:tcW w:w="2070" w:type="dxa"/>
            <w:gridSpan w:val="2"/>
            <w:tcBorders>
              <w:bottom w:val="single" w:color="008000" w:sz="6" w:space="0"/>
            </w:tcBorders>
          </w:tcPr>
          <w:p w14:paraId="40574F97">
            <w:pPr>
              <w:spacing w:line="380" w:lineRule="exact"/>
              <w:rPr>
                <w:rFonts w:eastAsia="楷体_GB2312"/>
                <w:sz w:val="24"/>
              </w:rPr>
            </w:pPr>
            <w:r>
              <w:rPr>
                <w:rFonts w:eastAsia="楷体_GB2312"/>
                <w:sz w:val="24"/>
              </w:rPr>
              <w:t>优先B档资产支持证券</w:t>
            </w:r>
          </w:p>
        </w:tc>
        <w:tc>
          <w:tcPr>
            <w:tcW w:w="1845" w:type="dxa"/>
            <w:tcBorders>
              <w:bottom w:val="single" w:color="008000" w:sz="6" w:space="0"/>
            </w:tcBorders>
          </w:tcPr>
          <w:p w14:paraId="70953569">
            <w:pPr>
              <w:spacing w:line="380" w:lineRule="exact"/>
              <w:rPr>
                <w:rFonts w:eastAsia="楷体_GB2312"/>
                <w:sz w:val="24"/>
              </w:rPr>
            </w:pPr>
            <w:r>
              <w:rPr>
                <w:rFonts w:eastAsia="楷体_GB2312"/>
                <w:sz w:val="24"/>
              </w:rPr>
              <w:t>次级资产支持证券</w:t>
            </w:r>
          </w:p>
        </w:tc>
      </w:tr>
      <w:tr w14:paraId="75FBB0FE">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Pr>
          <w:p w14:paraId="4DD47272">
            <w:pPr>
              <w:spacing w:line="380" w:lineRule="exact"/>
              <w:rPr>
                <w:rFonts w:eastAsia="楷体_GB2312"/>
                <w:sz w:val="24"/>
              </w:rPr>
            </w:pPr>
            <w:r>
              <w:rPr>
                <w:rFonts w:eastAsia="楷体_GB2312"/>
                <w:sz w:val="24"/>
              </w:rPr>
              <w:t>本期可分配本金总额</w:t>
            </w:r>
            <w:r>
              <w:rPr>
                <w:rFonts w:eastAsia="楷体_GB2312"/>
                <w:sz w:val="24"/>
                <w:vertAlign w:val="superscript"/>
              </w:rPr>
              <w:t>1</w:t>
            </w:r>
          </w:p>
        </w:tc>
        <w:tc>
          <w:tcPr>
            <w:tcW w:w="2207" w:type="dxa"/>
          </w:tcPr>
          <w:p w14:paraId="6A3754D4">
            <w:pPr>
              <w:spacing w:line="380" w:lineRule="exact"/>
              <w:rPr>
                <w:rFonts w:eastAsia="楷体_GB2312"/>
                <w:sz w:val="24"/>
              </w:rPr>
            </w:pPr>
          </w:p>
        </w:tc>
        <w:tc>
          <w:tcPr>
            <w:tcW w:w="960" w:type="dxa"/>
          </w:tcPr>
          <w:p w14:paraId="67BE4BEA">
            <w:pPr>
              <w:spacing w:line="380" w:lineRule="exact"/>
              <w:rPr>
                <w:rFonts w:eastAsia="楷体_GB2312"/>
                <w:sz w:val="24"/>
              </w:rPr>
            </w:pPr>
          </w:p>
        </w:tc>
        <w:tc>
          <w:tcPr>
            <w:tcW w:w="1110" w:type="dxa"/>
          </w:tcPr>
          <w:p w14:paraId="0A73365D">
            <w:pPr>
              <w:spacing w:line="380" w:lineRule="exact"/>
              <w:rPr>
                <w:rFonts w:eastAsia="楷体_GB2312"/>
                <w:sz w:val="24"/>
              </w:rPr>
            </w:pPr>
          </w:p>
        </w:tc>
        <w:tc>
          <w:tcPr>
            <w:tcW w:w="1845" w:type="dxa"/>
          </w:tcPr>
          <w:p w14:paraId="00F945E9">
            <w:pPr>
              <w:spacing w:line="380" w:lineRule="exact"/>
              <w:rPr>
                <w:rFonts w:eastAsia="楷体_GB2312"/>
                <w:sz w:val="24"/>
              </w:rPr>
            </w:pPr>
          </w:p>
        </w:tc>
      </w:tr>
      <w:tr w14:paraId="67347C7A">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Pr>
          <w:p w14:paraId="53C1E6B3">
            <w:pPr>
              <w:spacing w:line="380" w:lineRule="exact"/>
              <w:rPr>
                <w:rFonts w:eastAsia="楷体_GB2312"/>
                <w:sz w:val="24"/>
              </w:rPr>
            </w:pPr>
            <w:r>
              <w:rPr>
                <w:rFonts w:eastAsia="楷体_GB2312"/>
                <w:sz w:val="24"/>
              </w:rPr>
              <w:t>本期每百元面额兑付本金额</w:t>
            </w:r>
            <w:r>
              <w:rPr>
                <w:rFonts w:eastAsia="楷体_GB2312"/>
                <w:sz w:val="24"/>
                <w:vertAlign w:val="superscript"/>
              </w:rPr>
              <w:t>2</w:t>
            </w:r>
            <w:r>
              <w:rPr>
                <w:rFonts w:eastAsia="楷体_GB2312"/>
                <w:sz w:val="24"/>
              </w:rPr>
              <w:t>（单位：元）</w:t>
            </w:r>
          </w:p>
        </w:tc>
        <w:tc>
          <w:tcPr>
            <w:tcW w:w="2207" w:type="dxa"/>
          </w:tcPr>
          <w:p w14:paraId="50BC5218">
            <w:pPr>
              <w:spacing w:line="380" w:lineRule="exact"/>
              <w:rPr>
                <w:rFonts w:eastAsia="楷体_GB2312"/>
                <w:sz w:val="24"/>
              </w:rPr>
            </w:pPr>
          </w:p>
        </w:tc>
        <w:tc>
          <w:tcPr>
            <w:tcW w:w="960" w:type="dxa"/>
          </w:tcPr>
          <w:p w14:paraId="63A6403A">
            <w:pPr>
              <w:spacing w:line="380" w:lineRule="exact"/>
              <w:rPr>
                <w:rFonts w:eastAsia="楷体_GB2312"/>
                <w:sz w:val="24"/>
              </w:rPr>
            </w:pPr>
          </w:p>
        </w:tc>
        <w:tc>
          <w:tcPr>
            <w:tcW w:w="1110" w:type="dxa"/>
          </w:tcPr>
          <w:p w14:paraId="7BFAE548">
            <w:pPr>
              <w:spacing w:line="380" w:lineRule="exact"/>
              <w:rPr>
                <w:rFonts w:eastAsia="楷体_GB2312"/>
                <w:sz w:val="24"/>
              </w:rPr>
            </w:pPr>
          </w:p>
        </w:tc>
        <w:tc>
          <w:tcPr>
            <w:tcW w:w="1845" w:type="dxa"/>
          </w:tcPr>
          <w:p w14:paraId="633AF0CB">
            <w:pPr>
              <w:spacing w:line="380" w:lineRule="exact"/>
              <w:rPr>
                <w:rFonts w:eastAsia="楷体_GB2312"/>
                <w:sz w:val="24"/>
              </w:rPr>
            </w:pPr>
          </w:p>
        </w:tc>
      </w:tr>
      <w:tr w14:paraId="39E2520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Pr>
          <w:p w14:paraId="63984144">
            <w:pPr>
              <w:spacing w:line="380" w:lineRule="exact"/>
              <w:rPr>
                <w:rFonts w:eastAsia="楷体_GB2312"/>
                <w:sz w:val="24"/>
              </w:rPr>
            </w:pPr>
            <w:r>
              <w:rPr>
                <w:rFonts w:eastAsia="楷体_GB2312"/>
                <w:sz w:val="24"/>
              </w:rPr>
              <w:t>本期兑付本金总额</w:t>
            </w:r>
            <w:r>
              <w:rPr>
                <w:rFonts w:eastAsia="楷体_GB2312"/>
                <w:sz w:val="24"/>
                <w:vertAlign w:val="superscript"/>
              </w:rPr>
              <w:t>3</w:t>
            </w:r>
            <w:r>
              <w:rPr>
                <w:rFonts w:eastAsia="楷体_GB2312"/>
                <w:sz w:val="24"/>
              </w:rPr>
              <w:t>（单位：元）</w:t>
            </w:r>
          </w:p>
        </w:tc>
        <w:tc>
          <w:tcPr>
            <w:tcW w:w="2207" w:type="dxa"/>
          </w:tcPr>
          <w:p w14:paraId="630CAB96">
            <w:pPr>
              <w:spacing w:line="380" w:lineRule="exact"/>
              <w:rPr>
                <w:rFonts w:eastAsia="楷体_GB2312"/>
                <w:sz w:val="24"/>
              </w:rPr>
            </w:pPr>
          </w:p>
        </w:tc>
        <w:tc>
          <w:tcPr>
            <w:tcW w:w="960" w:type="dxa"/>
          </w:tcPr>
          <w:p w14:paraId="781F8A2E">
            <w:pPr>
              <w:spacing w:line="380" w:lineRule="exact"/>
              <w:rPr>
                <w:rFonts w:eastAsia="楷体_GB2312"/>
                <w:sz w:val="24"/>
              </w:rPr>
            </w:pPr>
          </w:p>
        </w:tc>
        <w:tc>
          <w:tcPr>
            <w:tcW w:w="1110" w:type="dxa"/>
          </w:tcPr>
          <w:p w14:paraId="6D050E1B">
            <w:pPr>
              <w:spacing w:line="380" w:lineRule="exact"/>
              <w:rPr>
                <w:rFonts w:eastAsia="楷体_GB2312"/>
                <w:sz w:val="24"/>
              </w:rPr>
            </w:pPr>
          </w:p>
        </w:tc>
        <w:tc>
          <w:tcPr>
            <w:tcW w:w="1845" w:type="dxa"/>
          </w:tcPr>
          <w:p w14:paraId="75FB0456">
            <w:pPr>
              <w:spacing w:line="380" w:lineRule="exact"/>
              <w:rPr>
                <w:rFonts w:eastAsia="楷体_GB2312"/>
                <w:sz w:val="24"/>
              </w:rPr>
            </w:pPr>
          </w:p>
        </w:tc>
      </w:tr>
      <w:tr w14:paraId="2AC46A3E">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Pr>
          <w:p w14:paraId="3A728B79">
            <w:pPr>
              <w:spacing w:line="380" w:lineRule="exact"/>
              <w:rPr>
                <w:rFonts w:eastAsia="楷体_GB2312"/>
                <w:sz w:val="24"/>
              </w:rPr>
            </w:pPr>
            <w:r>
              <w:rPr>
                <w:rFonts w:eastAsia="楷体_GB2312"/>
                <w:sz w:val="24"/>
              </w:rPr>
              <w:t>转存下期每百元面额本金还款额</w:t>
            </w:r>
            <w:r>
              <w:rPr>
                <w:rFonts w:eastAsia="楷体_GB2312"/>
                <w:sz w:val="24"/>
                <w:vertAlign w:val="superscript"/>
              </w:rPr>
              <w:t>4</w:t>
            </w:r>
            <w:r>
              <w:rPr>
                <w:rFonts w:eastAsia="楷体_GB2312"/>
                <w:sz w:val="24"/>
              </w:rPr>
              <w:t>（单位：元）</w:t>
            </w:r>
          </w:p>
        </w:tc>
        <w:tc>
          <w:tcPr>
            <w:tcW w:w="2207" w:type="dxa"/>
          </w:tcPr>
          <w:p w14:paraId="575D7720">
            <w:pPr>
              <w:spacing w:line="380" w:lineRule="exact"/>
              <w:rPr>
                <w:rFonts w:eastAsia="楷体_GB2312"/>
                <w:sz w:val="24"/>
              </w:rPr>
            </w:pPr>
          </w:p>
        </w:tc>
        <w:tc>
          <w:tcPr>
            <w:tcW w:w="960" w:type="dxa"/>
          </w:tcPr>
          <w:p w14:paraId="37AFDC1E">
            <w:pPr>
              <w:spacing w:line="380" w:lineRule="exact"/>
              <w:rPr>
                <w:rFonts w:eastAsia="楷体_GB2312"/>
                <w:sz w:val="24"/>
              </w:rPr>
            </w:pPr>
          </w:p>
        </w:tc>
        <w:tc>
          <w:tcPr>
            <w:tcW w:w="1110" w:type="dxa"/>
          </w:tcPr>
          <w:p w14:paraId="709C4E67">
            <w:pPr>
              <w:spacing w:line="380" w:lineRule="exact"/>
              <w:rPr>
                <w:rFonts w:eastAsia="楷体_GB2312"/>
                <w:sz w:val="24"/>
              </w:rPr>
            </w:pPr>
          </w:p>
        </w:tc>
        <w:tc>
          <w:tcPr>
            <w:tcW w:w="1845" w:type="dxa"/>
          </w:tcPr>
          <w:p w14:paraId="3778A7A6">
            <w:pPr>
              <w:spacing w:line="380" w:lineRule="exact"/>
              <w:rPr>
                <w:rFonts w:eastAsia="楷体_GB2312"/>
                <w:sz w:val="24"/>
              </w:rPr>
            </w:pPr>
          </w:p>
        </w:tc>
      </w:tr>
      <w:tr w14:paraId="24EB035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Borders>
              <w:top w:val="single" w:color="008000" w:sz="6" w:space="0"/>
            </w:tcBorders>
          </w:tcPr>
          <w:p w14:paraId="4C2C8552">
            <w:pPr>
              <w:spacing w:line="380" w:lineRule="exact"/>
              <w:rPr>
                <w:rFonts w:eastAsia="楷体_GB2312"/>
                <w:sz w:val="24"/>
              </w:rPr>
            </w:pPr>
            <w:r>
              <w:rPr>
                <w:rFonts w:eastAsia="楷体_GB2312"/>
                <w:sz w:val="24"/>
              </w:rPr>
              <w:t>转存下期本金还款金额</w:t>
            </w:r>
            <w:r>
              <w:rPr>
                <w:rFonts w:eastAsia="楷体_GB2312"/>
                <w:sz w:val="24"/>
                <w:vertAlign w:val="superscript"/>
              </w:rPr>
              <w:t>5</w:t>
            </w:r>
            <w:r>
              <w:rPr>
                <w:rFonts w:eastAsia="楷体_GB2312"/>
                <w:sz w:val="24"/>
              </w:rPr>
              <w:t>（单位：元）</w:t>
            </w:r>
          </w:p>
        </w:tc>
        <w:tc>
          <w:tcPr>
            <w:tcW w:w="2207" w:type="dxa"/>
            <w:tcBorders>
              <w:top w:val="single" w:color="008000" w:sz="6" w:space="0"/>
            </w:tcBorders>
          </w:tcPr>
          <w:p w14:paraId="6303687D">
            <w:pPr>
              <w:spacing w:line="380" w:lineRule="exact"/>
              <w:rPr>
                <w:rFonts w:eastAsia="楷体_GB2312"/>
                <w:sz w:val="24"/>
              </w:rPr>
            </w:pPr>
          </w:p>
        </w:tc>
        <w:tc>
          <w:tcPr>
            <w:tcW w:w="960" w:type="dxa"/>
            <w:tcBorders>
              <w:top w:val="single" w:color="008000" w:sz="6" w:space="0"/>
            </w:tcBorders>
          </w:tcPr>
          <w:p w14:paraId="14CC6B1D">
            <w:pPr>
              <w:spacing w:line="380" w:lineRule="exact"/>
              <w:rPr>
                <w:rFonts w:eastAsia="楷体_GB2312"/>
                <w:sz w:val="24"/>
              </w:rPr>
            </w:pPr>
          </w:p>
        </w:tc>
        <w:tc>
          <w:tcPr>
            <w:tcW w:w="1110" w:type="dxa"/>
            <w:tcBorders>
              <w:top w:val="single" w:color="008000" w:sz="6" w:space="0"/>
            </w:tcBorders>
          </w:tcPr>
          <w:p w14:paraId="0135FA00">
            <w:pPr>
              <w:spacing w:line="380" w:lineRule="exact"/>
              <w:rPr>
                <w:rFonts w:eastAsia="楷体_GB2312"/>
                <w:sz w:val="24"/>
              </w:rPr>
            </w:pPr>
          </w:p>
        </w:tc>
        <w:tc>
          <w:tcPr>
            <w:tcW w:w="1845" w:type="dxa"/>
            <w:tcBorders>
              <w:top w:val="single" w:color="008000" w:sz="6" w:space="0"/>
            </w:tcBorders>
          </w:tcPr>
          <w:p w14:paraId="0EC489E6">
            <w:pPr>
              <w:spacing w:line="380" w:lineRule="exact"/>
              <w:rPr>
                <w:rFonts w:eastAsia="楷体_GB2312"/>
                <w:sz w:val="24"/>
              </w:rPr>
            </w:pPr>
          </w:p>
        </w:tc>
      </w:tr>
    </w:tbl>
    <w:p w14:paraId="66ECDEB6">
      <w:pPr>
        <w:spacing w:before="156" w:beforeLines="50" w:line="380" w:lineRule="exact"/>
        <w:ind w:left="617" w:hanging="616" w:hangingChars="257"/>
        <w:rPr>
          <w:rFonts w:eastAsia="楷体_GB2312"/>
          <w:sz w:val="24"/>
        </w:rPr>
      </w:pPr>
    </w:p>
    <w:p w14:paraId="2828DF19">
      <w:pPr>
        <w:spacing w:before="156" w:beforeLines="50" w:line="380" w:lineRule="exact"/>
        <w:ind w:left="617" w:hanging="616" w:hangingChars="257"/>
        <w:rPr>
          <w:rFonts w:eastAsia="楷体_GB2312"/>
          <w:sz w:val="24"/>
        </w:rPr>
      </w:pPr>
      <w:r>
        <w:rPr>
          <w:rFonts w:eastAsia="楷体_GB2312"/>
          <w:sz w:val="24"/>
        </w:rPr>
        <w:t>说明：</w:t>
      </w:r>
    </w:p>
    <w:p w14:paraId="43037E53">
      <w:pPr>
        <w:spacing w:before="156" w:beforeLines="50" w:line="380" w:lineRule="exact"/>
        <w:ind w:left="617" w:hanging="616" w:hangingChars="257"/>
        <w:rPr>
          <w:rFonts w:eastAsia="楷体_GB2312"/>
          <w:sz w:val="24"/>
        </w:rPr>
      </w:pPr>
    </w:p>
    <w:p w14:paraId="7812117D">
      <w:pPr>
        <w:numPr>
          <w:ilvl w:val="0"/>
          <w:numId w:val="31"/>
        </w:numPr>
        <w:spacing w:before="156" w:beforeLines="50" w:line="380" w:lineRule="exact"/>
        <w:rPr>
          <w:rFonts w:eastAsia="楷体_GB2312"/>
          <w:sz w:val="24"/>
        </w:rPr>
      </w:pPr>
      <w:r>
        <w:rPr>
          <w:rFonts w:eastAsia="楷体_GB2312"/>
          <w:sz w:val="24"/>
        </w:rPr>
        <w:t>本期可分配本金总额：系指本期回收款中用于本金分配的资金（“本期可分配本金金额”）与上期转存金额之和。</w:t>
      </w:r>
    </w:p>
    <w:p w14:paraId="6835D25B">
      <w:pPr>
        <w:spacing w:before="156" w:beforeLines="50" w:line="380" w:lineRule="exact"/>
        <w:rPr>
          <w:rFonts w:eastAsia="楷体_GB2312"/>
          <w:sz w:val="24"/>
        </w:rPr>
      </w:pPr>
    </w:p>
    <w:p w14:paraId="73D3E744">
      <w:pPr>
        <w:numPr>
          <w:ilvl w:val="0"/>
          <w:numId w:val="31"/>
        </w:numPr>
        <w:spacing w:before="156" w:beforeLines="50" w:line="380" w:lineRule="exact"/>
        <w:rPr>
          <w:rFonts w:eastAsia="楷体_GB2312"/>
          <w:sz w:val="24"/>
        </w:rPr>
      </w:pPr>
      <w:r>
        <w:rPr>
          <w:rFonts w:eastAsia="楷体_GB2312"/>
          <w:sz w:val="24"/>
        </w:rPr>
        <w:t>本期每百元面额兑付本金额的计算：</w:t>
      </w:r>
    </w:p>
    <w:p w14:paraId="235BFF5C">
      <w:pPr>
        <w:numPr>
          <w:ilvl w:val="1"/>
          <w:numId w:val="32"/>
        </w:numPr>
        <w:spacing w:before="156" w:beforeLines="50" w:line="380" w:lineRule="exact"/>
        <w:rPr>
          <w:rFonts w:eastAsia="楷体_GB2312"/>
          <w:sz w:val="24"/>
        </w:rPr>
      </w:pPr>
      <w:r>
        <w:rPr>
          <w:rFonts w:eastAsia="楷体_GB2312"/>
          <w:sz w:val="24"/>
        </w:rPr>
        <w:t>当某一期的本期可分配本金总额不足以偿付完毕当期级别最高的资产支持证券本金余额时，当期级别最高的资产支持证券的“本期每百元面额兑付本金额”=</w:t>
      </w:r>
      <w:bookmarkStart w:id="876" w:name="OLE_LINK1"/>
      <w:bookmarkStart w:id="877" w:name="OLE_LINK2"/>
      <w:r>
        <w:rPr>
          <w:rFonts w:eastAsia="楷体_GB2312"/>
          <w:sz w:val="24"/>
        </w:rPr>
        <w:t>本期可分配本金总额/该级资产支持证券份数，</w:t>
      </w:r>
      <w:bookmarkEnd w:id="876"/>
      <w:bookmarkEnd w:id="877"/>
      <w:r>
        <w:rPr>
          <w:rFonts w:eastAsia="楷体_GB2312"/>
          <w:sz w:val="24"/>
        </w:rPr>
        <w:t>所得数值取位到人民币分位，不做四舍五入进位；其余级别资产支持证券的“本期每百元面额兑付本金额”为零。</w:t>
      </w:r>
    </w:p>
    <w:p w14:paraId="1B603661">
      <w:pPr>
        <w:spacing w:before="156" w:beforeLines="50" w:line="380" w:lineRule="exact"/>
        <w:rPr>
          <w:rFonts w:eastAsia="楷体_GB2312"/>
          <w:sz w:val="24"/>
        </w:rPr>
      </w:pPr>
    </w:p>
    <w:p w14:paraId="5512E56E">
      <w:pPr>
        <w:numPr>
          <w:ilvl w:val="1"/>
          <w:numId w:val="32"/>
        </w:numPr>
        <w:spacing w:before="50" w:line="380" w:lineRule="exact"/>
        <w:rPr>
          <w:rFonts w:eastAsia="楷体_GB2312"/>
          <w:sz w:val="24"/>
        </w:rPr>
      </w:pPr>
      <w:r>
        <w:rPr>
          <w:rFonts w:eastAsia="楷体_GB2312"/>
          <w:sz w:val="24"/>
        </w:rPr>
        <w:t>当某一期本期可分配本金总额不仅能偿付完毕当期高级别的某一级或某连续几级资产支持证券本金余额、且仍有资金剩余用于偿付下一级别的资产支持证券（以下简称“最后受偿的级别的资产支持证券”）的本金时，则被偿付完毕的级别较高的资产支持证券的“本期每百元面额兑付本金额”=本期期初该级资产支持证券每百元面额的本金余额；最后受偿的级别的资产支持证券的“本期每百元面额兑付本金额”=（本期可分配本金总额-本期用于偿付较高级别资产支持证券的本金金额）/当期最后受偿的级别的资产支持证券的份数，所得数值取位到人民币分位，不做四舍五入进位；未涉及的其余级别的资产支持证券的“本期每百元面额兑付本金额”为零。</w:t>
      </w:r>
    </w:p>
    <w:p w14:paraId="50F87DA8">
      <w:pPr>
        <w:spacing w:before="50" w:line="380" w:lineRule="exact"/>
        <w:ind w:left="420"/>
        <w:rPr>
          <w:rFonts w:eastAsia="楷体_GB2312"/>
          <w:sz w:val="24"/>
        </w:rPr>
      </w:pPr>
    </w:p>
    <w:p w14:paraId="67F987EC">
      <w:pPr>
        <w:numPr>
          <w:ilvl w:val="0"/>
          <w:numId w:val="31"/>
        </w:numPr>
        <w:spacing w:before="156" w:beforeLines="50" w:line="380" w:lineRule="exact"/>
        <w:rPr>
          <w:rFonts w:eastAsia="楷体_GB2312"/>
          <w:sz w:val="24"/>
        </w:rPr>
      </w:pPr>
      <w:r>
        <w:rPr>
          <w:rFonts w:eastAsia="楷体_GB2312"/>
          <w:sz w:val="24"/>
        </w:rPr>
        <w:t>某一级别的资产支持证券的“本期兑付本金总额”=该级别资产支持证券的“本期每百元面额兑付本金额”×该级别资产支持证券的份数。</w:t>
      </w:r>
    </w:p>
    <w:p w14:paraId="6AE0462B">
      <w:pPr>
        <w:spacing w:before="156" w:beforeLines="50" w:line="380" w:lineRule="exact"/>
        <w:rPr>
          <w:rFonts w:eastAsia="楷体_GB2312"/>
          <w:sz w:val="24"/>
        </w:rPr>
      </w:pPr>
    </w:p>
    <w:p w14:paraId="38F0CCDE">
      <w:pPr>
        <w:numPr>
          <w:ilvl w:val="0"/>
          <w:numId w:val="31"/>
        </w:numPr>
        <w:spacing w:before="156" w:beforeLines="50" w:line="380" w:lineRule="exact"/>
        <w:rPr>
          <w:rFonts w:eastAsia="楷体_GB2312"/>
          <w:sz w:val="24"/>
        </w:rPr>
      </w:pPr>
      <w:r>
        <w:rPr>
          <w:rFonts w:eastAsia="楷体_GB2312"/>
          <w:sz w:val="24"/>
        </w:rPr>
        <w:t>转存下期每百元面额本金还款额的计算：</w:t>
      </w:r>
    </w:p>
    <w:p w14:paraId="08F03432">
      <w:pPr>
        <w:spacing w:before="156" w:beforeLines="50" w:line="380" w:lineRule="exact"/>
        <w:rPr>
          <w:rFonts w:eastAsia="楷体_GB2312"/>
          <w:sz w:val="24"/>
        </w:rPr>
      </w:pPr>
    </w:p>
    <w:p w14:paraId="020F29F3">
      <w:pPr>
        <w:numPr>
          <w:ilvl w:val="0"/>
          <w:numId w:val="33"/>
        </w:numPr>
        <w:spacing w:before="156" w:beforeLines="50" w:line="380" w:lineRule="exact"/>
        <w:rPr>
          <w:rFonts w:eastAsia="楷体_GB2312"/>
          <w:sz w:val="24"/>
        </w:rPr>
      </w:pPr>
      <w:r>
        <w:rPr>
          <w:rFonts w:eastAsia="楷体_GB2312"/>
          <w:sz w:val="24"/>
        </w:rPr>
        <w:t>当某一期的本期可分配本金总额不足以偿付完毕当期级别最高的资产支持证券本金余额时，该级别的资产支持证券的“转存下期每百元面额本金还款额”=（本期可分配本金总额-该级资产支持证券的“本期兑付本金总额”）/该级资产支持证券份数，所得数值保留到小数点后10位，做四舍五入处理；其余级别的资产支持证券的“转存下期每百元面额本金还款额”为零。</w:t>
      </w:r>
    </w:p>
    <w:p w14:paraId="1AC90335">
      <w:pPr>
        <w:spacing w:before="156" w:beforeLines="50" w:line="380" w:lineRule="exact"/>
        <w:rPr>
          <w:rFonts w:eastAsia="楷体_GB2312"/>
          <w:sz w:val="24"/>
        </w:rPr>
      </w:pPr>
    </w:p>
    <w:p w14:paraId="2C8CB703">
      <w:pPr>
        <w:numPr>
          <w:ilvl w:val="0"/>
          <w:numId w:val="33"/>
        </w:numPr>
        <w:spacing w:before="50" w:line="380" w:lineRule="exact"/>
        <w:rPr>
          <w:rFonts w:eastAsia="楷体_GB2312"/>
          <w:sz w:val="24"/>
        </w:rPr>
      </w:pPr>
      <w:r>
        <w:rPr>
          <w:rFonts w:eastAsia="楷体_GB2312"/>
          <w:sz w:val="24"/>
        </w:rPr>
        <w:t>当某一期的本期可分配本金总额不仅能偿付完毕当期高级别的某一级或某连续几级资产支持证券本金余额、且仍有资金剩余用于偿付下一优先级别的资产支持证券（以下简称“最后受偿的级别的资产支持证券”）的本金时，则被偿付完毕的高级别的资产支持证券的“转存下期每百元面额本金还款额”为零；最后受偿的级别的资产支持证券的“转存下期每百元面额本金还款额”=（本期可分配本金总额-本期用于偿付较高级别资产支持证券的本金金额-该最后受偿的级别的资产支持证券的“本期兑付本金总额”）/当期该级资产支持证券份数，所得数值保留到小数点后10位，做四舍五入处理；其余未涉及的资产支持证券的“转存下期每百元面额本金还款额”为零。</w:t>
      </w:r>
    </w:p>
    <w:p w14:paraId="2D55C5C2">
      <w:pPr>
        <w:spacing w:before="50" w:line="380" w:lineRule="exact"/>
        <w:rPr>
          <w:rFonts w:eastAsia="楷体_GB2312"/>
          <w:sz w:val="24"/>
        </w:rPr>
      </w:pPr>
    </w:p>
    <w:p w14:paraId="4E906AE2">
      <w:pPr>
        <w:numPr>
          <w:ilvl w:val="0"/>
          <w:numId w:val="31"/>
        </w:numPr>
        <w:spacing w:before="156" w:beforeLines="50" w:line="380" w:lineRule="exact"/>
        <w:rPr>
          <w:rFonts w:eastAsia="楷体_GB2312"/>
          <w:b/>
          <w:sz w:val="24"/>
        </w:rPr>
      </w:pPr>
      <w:r>
        <w:rPr>
          <w:rFonts w:eastAsia="楷体_GB2312"/>
          <w:sz w:val="24"/>
        </w:rPr>
        <w:t>转存下期本金还款金额：</w:t>
      </w:r>
    </w:p>
    <w:p w14:paraId="15613DEA">
      <w:pPr>
        <w:spacing w:before="156" w:beforeLines="50" w:line="380" w:lineRule="exact"/>
        <w:rPr>
          <w:rFonts w:eastAsia="楷体_GB2312"/>
          <w:b/>
          <w:sz w:val="24"/>
        </w:rPr>
      </w:pPr>
      <w:r>
        <w:rPr>
          <w:rFonts w:eastAsia="楷体_GB2312"/>
          <w:sz w:val="24"/>
        </w:rPr>
        <w:t>本期的“转存下期本金还款金额”=本期可分配本金总额-∑各级资产支持证券的“本期兑付本金总额”，所取得数值取数到人民币分位（人民币）。</w:t>
      </w:r>
    </w:p>
    <w:p w14:paraId="4E90FD5E">
      <w:pPr>
        <w:spacing w:before="156" w:beforeLines="50" w:after="156" w:afterLines="50" w:line="360" w:lineRule="auto"/>
        <w:ind w:right="480"/>
        <w:outlineLvl w:val="0"/>
        <w:rPr>
          <w:rFonts w:eastAsia="楷体_GB2312"/>
          <w:b/>
          <w:sz w:val="24"/>
        </w:rPr>
      </w:pPr>
      <w:r>
        <w:rPr>
          <w:rFonts w:eastAsia="楷体_GB2312"/>
          <w:sz w:val="24"/>
        </w:rPr>
        <w:br w:type="page"/>
      </w:r>
      <w:bookmarkStart w:id="878" w:name="_Toc27061"/>
      <w:bookmarkStart w:id="879" w:name="_Toc402883985"/>
      <w:bookmarkStart w:id="880" w:name="_Toc416687733"/>
      <w:bookmarkStart w:id="881" w:name="_Toc51277244"/>
      <w:bookmarkStart w:id="882" w:name="_Toc373951577"/>
      <w:r>
        <w:rPr>
          <w:rFonts w:eastAsia="楷体_GB2312"/>
          <w:b/>
          <w:sz w:val="24"/>
        </w:rPr>
        <w:t>附件六：清仓回购通知格式</w:t>
      </w:r>
      <w:bookmarkEnd w:id="878"/>
      <w:bookmarkEnd w:id="879"/>
      <w:bookmarkEnd w:id="880"/>
      <w:bookmarkEnd w:id="881"/>
    </w:p>
    <w:p w14:paraId="2B54E44E">
      <w:pPr>
        <w:spacing w:before="156" w:beforeLines="50" w:after="156" w:afterLines="50" w:line="360" w:lineRule="auto"/>
        <w:jc w:val="center"/>
        <w:rPr>
          <w:rFonts w:eastAsia="楷体_GB2312"/>
          <w:sz w:val="28"/>
          <w:szCs w:val="28"/>
        </w:rPr>
      </w:pPr>
      <w:r>
        <w:rPr>
          <w:rFonts w:eastAsia="楷体_GB2312"/>
          <w:b/>
          <w:sz w:val="28"/>
          <w:szCs w:val="28"/>
        </w:rPr>
        <w:t>清仓回购通知书（格式）</w:t>
      </w:r>
    </w:p>
    <w:p w14:paraId="72C7400D">
      <w:pPr>
        <w:spacing w:before="156" w:beforeLines="50" w:after="156" w:afterLines="50" w:line="360" w:lineRule="auto"/>
        <w:rPr>
          <w:rFonts w:eastAsia="楷体_GB2312"/>
          <w:sz w:val="24"/>
        </w:rPr>
      </w:pPr>
      <w:r>
        <w:rPr>
          <w:rFonts w:eastAsia="楷体_GB2312"/>
          <w:sz w:val="24"/>
        </w:rPr>
        <w:t>致：</w:t>
      </w:r>
      <w:r>
        <w:rPr>
          <w:rFonts w:eastAsia="楷体_GB2312"/>
          <w:sz w:val="24"/>
        </w:rPr>
        <w:tab/>
      </w:r>
      <w:r>
        <w:rPr>
          <w:rFonts w:eastAsia="楷体_GB2312"/>
          <w:sz w:val="24"/>
        </w:rPr>
        <w:t>【受托机构全称】（“受托人”）</w:t>
      </w:r>
    </w:p>
    <w:p w14:paraId="60F12A02">
      <w:pPr>
        <w:spacing w:before="156" w:beforeLines="50" w:after="156" w:afterLines="50" w:line="360" w:lineRule="auto"/>
        <w:rPr>
          <w:rFonts w:eastAsia="楷体_GB2312"/>
          <w:sz w:val="24"/>
        </w:rPr>
      </w:pPr>
      <w:r>
        <w:rPr>
          <w:rFonts w:eastAsia="楷体_GB2312"/>
          <w:sz w:val="24"/>
        </w:rPr>
        <w:t>日期：_______________</w:t>
      </w:r>
    </w:p>
    <w:p w14:paraId="1EE56F29">
      <w:pPr>
        <w:spacing w:before="156" w:beforeLines="50" w:after="156" w:afterLines="50" w:line="360" w:lineRule="auto"/>
        <w:ind w:left="-62" w:firstLine="480" w:firstLineChars="200"/>
        <w:rPr>
          <w:rFonts w:eastAsia="楷体_GB2312"/>
          <w:sz w:val="24"/>
        </w:rPr>
      </w:pPr>
      <w:r>
        <w:rPr>
          <w:rFonts w:eastAsia="楷体_GB2312"/>
          <w:sz w:val="24"/>
        </w:rPr>
        <w:t>根据【发起机构全称】与【受托机构全称】签署的编号为【信托合同编号】的《</w:t>
      </w:r>
      <w:r>
        <w:rPr>
          <w:rFonts w:eastAsia="楷体_GB2312"/>
          <w:color w:val="000000"/>
          <w:sz w:val="24"/>
        </w:rPr>
        <w:t>【信托名称】</w:t>
      </w:r>
      <w:r>
        <w:rPr>
          <w:rFonts w:eastAsia="楷体_GB2312"/>
          <w:sz w:val="24"/>
        </w:rPr>
        <w:t>之信托合同》（“《信托合同》”）的约定，本行（作为“委托人”）向贵公司（作为“受托人”）通知如下：</w:t>
      </w:r>
    </w:p>
    <w:p w14:paraId="62E648F7">
      <w:pPr>
        <w:numPr>
          <w:ilvl w:val="0"/>
          <w:numId w:val="34"/>
        </w:numPr>
        <w:spacing w:before="156" w:beforeLines="50" w:after="156" w:afterLines="50" w:line="360" w:lineRule="auto"/>
        <w:rPr>
          <w:rFonts w:eastAsia="楷体_GB2312"/>
          <w:sz w:val="24"/>
        </w:rPr>
      </w:pPr>
      <w:r>
        <w:rPr>
          <w:rFonts w:eastAsia="楷体_GB2312"/>
          <w:sz w:val="24"/>
        </w:rPr>
        <w:t>本行拟按照“《信托合同》”第</w:t>
      </w:r>
      <w:r>
        <w:rPr>
          <w:rFonts w:eastAsia="楷体_GB2312"/>
        </w:rPr>
        <w:fldChar w:fldCharType="begin"/>
      </w:r>
      <w:r>
        <w:rPr>
          <w:rFonts w:eastAsia="楷体_GB2312"/>
        </w:rPr>
        <w:instrText xml:space="preserve"> REF _Ref482277718 \r \h  \* MERGEFORMAT </w:instrText>
      </w:r>
      <w:r>
        <w:rPr>
          <w:rFonts w:eastAsia="楷体_GB2312"/>
        </w:rPr>
        <w:fldChar w:fldCharType="separate"/>
      </w:r>
      <w:r>
        <w:rPr>
          <w:rFonts w:eastAsia="楷体_GB2312"/>
          <w:sz w:val="24"/>
        </w:rPr>
        <w:t>14</w:t>
      </w:r>
      <w:r>
        <w:rPr>
          <w:rFonts w:eastAsia="楷体_GB2312"/>
        </w:rPr>
        <w:fldChar w:fldCharType="end"/>
      </w:r>
      <w:r>
        <w:rPr>
          <w:rFonts w:eastAsia="楷体_GB2312"/>
          <w:sz w:val="24"/>
        </w:rPr>
        <w:t>条的约定“清仓回购”“信贷资产”；</w:t>
      </w:r>
    </w:p>
    <w:p w14:paraId="378A1A1A">
      <w:pPr>
        <w:numPr>
          <w:ilvl w:val="0"/>
          <w:numId w:val="34"/>
        </w:numPr>
        <w:spacing w:before="156" w:beforeLines="50" w:after="156" w:afterLines="50" w:line="360" w:lineRule="auto"/>
        <w:rPr>
          <w:rFonts w:eastAsia="楷体_GB2312"/>
          <w:sz w:val="24"/>
        </w:rPr>
      </w:pPr>
      <w:r>
        <w:rPr>
          <w:rFonts w:eastAsia="楷体_GB2312"/>
          <w:sz w:val="24"/>
        </w:rPr>
        <w:t>与本次“清仓回购”相关的“收款期间”系指【】年【】月【】日（不含该日）至【】年【】月【】日（含该日）；“回购起算日”系指【】年【】月【】日。</w:t>
      </w:r>
    </w:p>
    <w:p w14:paraId="48182047">
      <w:pPr>
        <w:spacing w:before="156" w:beforeLines="50" w:after="156" w:afterLines="50" w:line="360" w:lineRule="auto"/>
        <w:ind w:left="-62" w:firstLine="480" w:firstLineChars="200"/>
        <w:rPr>
          <w:rFonts w:eastAsia="楷体_GB2312"/>
          <w:sz w:val="24"/>
        </w:rPr>
      </w:pPr>
      <w:r>
        <w:rPr>
          <w:rFonts w:eastAsia="楷体_GB2312"/>
          <w:sz w:val="24"/>
        </w:rPr>
        <w:t>若无相反定义，本通知使用的词语和表述与编号为【主定义表编号】的《【信托名称】主定义表》、“《信托合同》”中的相同词语和表述具有相同含义。</w:t>
      </w:r>
    </w:p>
    <w:p w14:paraId="609B0C8C">
      <w:pPr>
        <w:spacing w:before="156" w:beforeLines="50" w:after="156" w:afterLines="50" w:line="360" w:lineRule="auto"/>
        <w:ind w:left="200" w:leftChars="100"/>
        <w:jc w:val="right"/>
        <w:rPr>
          <w:rFonts w:eastAsia="楷体_GB2312"/>
          <w:sz w:val="24"/>
        </w:rPr>
      </w:pPr>
    </w:p>
    <w:p w14:paraId="373D3F03">
      <w:pPr>
        <w:spacing w:before="156" w:beforeLines="50" w:after="156" w:afterLines="50" w:line="360" w:lineRule="auto"/>
        <w:jc w:val="left"/>
        <w:rPr>
          <w:rFonts w:eastAsia="楷体_GB2312"/>
          <w:sz w:val="24"/>
        </w:rPr>
      </w:pPr>
      <w:r>
        <w:rPr>
          <w:rFonts w:eastAsia="楷体_GB2312"/>
          <w:sz w:val="24"/>
        </w:rPr>
        <w:t>委托人：【发起机构全称】</w:t>
      </w:r>
    </w:p>
    <w:p w14:paraId="43A71BFF">
      <w:pPr>
        <w:spacing w:before="156" w:beforeLines="50" w:after="156" w:afterLines="50" w:line="360" w:lineRule="auto"/>
        <w:jc w:val="left"/>
        <w:rPr>
          <w:rFonts w:eastAsia="楷体_GB2312"/>
          <w:sz w:val="24"/>
        </w:rPr>
      </w:pPr>
      <w:r>
        <w:rPr>
          <w:rFonts w:eastAsia="楷体_GB2312"/>
          <w:sz w:val="24"/>
        </w:rPr>
        <w:t>法定代表人或授权代理人：</w:t>
      </w:r>
    </w:p>
    <w:p w14:paraId="7CE9F188">
      <w:pPr>
        <w:spacing w:before="156" w:beforeLines="50" w:after="156" w:afterLines="50" w:line="360" w:lineRule="auto"/>
        <w:jc w:val="left"/>
        <w:rPr>
          <w:rFonts w:eastAsia="楷体_GB2312"/>
          <w:sz w:val="24"/>
        </w:rPr>
      </w:pPr>
      <w:r>
        <w:rPr>
          <w:rFonts w:eastAsia="楷体_GB2312"/>
          <w:sz w:val="24"/>
        </w:rPr>
        <w:t>签署日期：【】年【】月【】日</w:t>
      </w:r>
    </w:p>
    <w:p w14:paraId="35E3DDD3">
      <w:pPr>
        <w:spacing w:before="156" w:beforeLines="50" w:after="156" w:afterLines="50" w:line="360" w:lineRule="auto"/>
        <w:ind w:right="480"/>
        <w:outlineLvl w:val="0"/>
        <w:rPr>
          <w:rFonts w:eastAsia="楷体_GB2312"/>
          <w:b/>
          <w:sz w:val="24"/>
        </w:rPr>
      </w:pPr>
      <w:r>
        <w:rPr>
          <w:rFonts w:eastAsia="楷体_GB2312"/>
          <w:sz w:val="24"/>
        </w:rPr>
        <w:br w:type="page"/>
      </w:r>
      <w:bookmarkStart w:id="883" w:name="_Toc416687734"/>
      <w:bookmarkStart w:id="884" w:name="_Toc51277245"/>
      <w:bookmarkStart w:id="885" w:name="_Toc402883986"/>
      <w:bookmarkStart w:id="886" w:name="_Toc6077"/>
      <w:r>
        <w:rPr>
          <w:rFonts w:eastAsia="楷体_GB2312"/>
          <w:b/>
          <w:sz w:val="24"/>
        </w:rPr>
        <w:t>附件七：清仓回购要约通知格式</w:t>
      </w:r>
      <w:bookmarkEnd w:id="883"/>
      <w:bookmarkEnd w:id="884"/>
      <w:bookmarkEnd w:id="885"/>
      <w:bookmarkEnd w:id="886"/>
    </w:p>
    <w:p w14:paraId="01C1C564">
      <w:pPr>
        <w:spacing w:before="156" w:beforeLines="50" w:after="156" w:afterLines="50" w:line="360" w:lineRule="auto"/>
        <w:jc w:val="center"/>
        <w:rPr>
          <w:rFonts w:eastAsia="楷体_GB2312"/>
          <w:sz w:val="28"/>
          <w:szCs w:val="28"/>
        </w:rPr>
      </w:pPr>
      <w:r>
        <w:rPr>
          <w:rFonts w:eastAsia="楷体_GB2312"/>
          <w:b/>
          <w:sz w:val="28"/>
          <w:szCs w:val="28"/>
        </w:rPr>
        <w:t>清仓回购要约通知书（格式）</w:t>
      </w:r>
    </w:p>
    <w:p w14:paraId="01BE49B9">
      <w:pPr>
        <w:spacing w:before="156" w:beforeLines="50" w:after="156" w:afterLines="50" w:line="360" w:lineRule="auto"/>
        <w:rPr>
          <w:rFonts w:eastAsia="楷体_GB2312"/>
          <w:sz w:val="24"/>
        </w:rPr>
      </w:pPr>
      <w:r>
        <w:rPr>
          <w:rFonts w:eastAsia="楷体_GB2312"/>
          <w:sz w:val="24"/>
        </w:rPr>
        <w:t>致：</w:t>
      </w:r>
      <w:r>
        <w:rPr>
          <w:rFonts w:eastAsia="楷体_GB2312"/>
          <w:sz w:val="24"/>
        </w:rPr>
        <w:tab/>
      </w:r>
      <w:r>
        <w:rPr>
          <w:rFonts w:eastAsia="楷体_GB2312"/>
          <w:sz w:val="24"/>
        </w:rPr>
        <w:t>【发起机构全称】（“委托人”）</w:t>
      </w:r>
    </w:p>
    <w:p w14:paraId="7C1F011E">
      <w:pPr>
        <w:spacing w:before="156" w:beforeLines="50" w:after="156" w:afterLines="50" w:line="360" w:lineRule="auto"/>
        <w:rPr>
          <w:rFonts w:eastAsia="楷体_GB2312"/>
          <w:sz w:val="24"/>
        </w:rPr>
      </w:pPr>
      <w:r>
        <w:rPr>
          <w:rFonts w:eastAsia="楷体_GB2312"/>
          <w:sz w:val="24"/>
        </w:rPr>
        <w:t>日期：_______________</w:t>
      </w:r>
    </w:p>
    <w:p w14:paraId="4C7AD49A">
      <w:pPr>
        <w:spacing w:before="156" w:beforeLines="50" w:after="156" w:afterLines="50" w:line="360" w:lineRule="auto"/>
        <w:ind w:left="-62" w:firstLine="480" w:firstLineChars="200"/>
        <w:rPr>
          <w:rFonts w:eastAsia="楷体_GB2312"/>
          <w:sz w:val="24"/>
        </w:rPr>
      </w:pPr>
      <w:r>
        <w:rPr>
          <w:rFonts w:eastAsia="楷体_GB2312"/>
          <w:sz w:val="24"/>
        </w:rPr>
        <w:t>根据【受托机构全称】与【发起机构全称】签署的编号为【信托合同编号】的《</w:t>
      </w:r>
      <w:r>
        <w:rPr>
          <w:rFonts w:eastAsia="楷体_GB2312"/>
          <w:color w:val="000000"/>
          <w:sz w:val="24"/>
        </w:rPr>
        <w:t>【信托名称】</w:t>
      </w:r>
      <w:r>
        <w:rPr>
          <w:rFonts w:eastAsia="楷体_GB2312"/>
          <w:sz w:val="24"/>
        </w:rPr>
        <w:t>之信托合同》（“《信托合同》”）的约定，本公司（作为“受托人”）向贵行（作为“委托人”）通知如下：</w:t>
      </w:r>
    </w:p>
    <w:p w14:paraId="1F3B021F">
      <w:pPr>
        <w:numPr>
          <w:ilvl w:val="0"/>
          <w:numId w:val="35"/>
        </w:numPr>
        <w:spacing w:before="156" w:beforeLines="50" w:after="156" w:afterLines="50" w:line="360" w:lineRule="auto"/>
        <w:rPr>
          <w:rFonts w:eastAsia="楷体_GB2312"/>
          <w:sz w:val="24"/>
        </w:rPr>
      </w:pPr>
      <w:r>
        <w:rPr>
          <w:rFonts w:eastAsia="楷体_GB2312"/>
          <w:sz w:val="24"/>
        </w:rPr>
        <w:t>本公司已收到贵行于【日期】发出的清仓回购通知（见本通知附件）；</w:t>
      </w:r>
    </w:p>
    <w:p w14:paraId="35CD2180">
      <w:pPr>
        <w:numPr>
          <w:ilvl w:val="0"/>
          <w:numId w:val="35"/>
        </w:numPr>
        <w:spacing w:before="156" w:beforeLines="50" w:after="156" w:afterLines="50" w:line="360" w:lineRule="auto"/>
        <w:rPr>
          <w:rFonts w:eastAsia="楷体_GB2312"/>
          <w:sz w:val="24"/>
        </w:rPr>
      </w:pPr>
      <w:r>
        <w:rPr>
          <w:rFonts w:eastAsia="楷体_GB2312"/>
          <w:sz w:val="24"/>
        </w:rPr>
        <w:t>“清仓回购价格”为【】元；</w:t>
      </w:r>
    </w:p>
    <w:p w14:paraId="198AF4DC">
      <w:pPr>
        <w:numPr>
          <w:ilvl w:val="0"/>
          <w:numId w:val="35"/>
        </w:numPr>
        <w:spacing w:before="156" w:beforeLines="50" w:after="156" w:afterLines="50" w:line="360" w:lineRule="auto"/>
        <w:rPr>
          <w:rFonts w:eastAsia="楷体_GB2312"/>
          <w:sz w:val="24"/>
        </w:rPr>
      </w:pPr>
      <w:r>
        <w:rPr>
          <w:rFonts w:eastAsia="楷体_GB2312"/>
          <w:sz w:val="24"/>
        </w:rPr>
        <w:t>在贵行承诺后，本公司将自“回购起算日”【</w:t>
      </w:r>
      <w:r>
        <w:rPr>
          <w:rFonts w:eastAsia="楷体_GB2312"/>
          <w:bCs/>
          <w:i/>
          <w:iCs/>
          <w:sz w:val="24"/>
        </w:rPr>
        <w:t>具体时点</w:t>
      </w:r>
      <w:r>
        <w:rPr>
          <w:rFonts w:eastAsia="楷体_GB2312"/>
          <w:sz w:val="24"/>
        </w:rPr>
        <w:t>】起“信托”项下的全部“信贷资产”以“清仓回购价格”出售给贵行，贵行应不晚于【】年【】月【】日将清仓回购价款划付至如下“信托账户”，户名：【】，开户行：【】，账号：【】，大额支付号：【】；如“清仓回购价格”为零，则本公司收到贵行发出的清仓回购承诺通知书之日视为贵行支付完毕相当于“清仓回购价格”的资金之日。</w:t>
      </w:r>
    </w:p>
    <w:p w14:paraId="02E048BC">
      <w:pPr>
        <w:numPr>
          <w:ilvl w:val="0"/>
          <w:numId w:val="35"/>
        </w:numPr>
        <w:spacing w:before="156" w:beforeLines="50" w:after="156" w:afterLines="50" w:line="360" w:lineRule="auto"/>
        <w:rPr>
          <w:rFonts w:eastAsia="楷体_GB2312"/>
          <w:sz w:val="24"/>
        </w:rPr>
      </w:pPr>
      <w:r>
        <w:rPr>
          <w:rFonts w:eastAsia="楷体_GB2312"/>
          <w:sz w:val="24"/>
        </w:rPr>
        <w:t>与本次出售相关的“收款期间”系指【】年【】月【】日（不含该日）至【】年【】月【】日（含该日）；“回购起算日”系指【】年【】月【】日。</w:t>
      </w:r>
    </w:p>
    <w:p w14:paraId="7152F93C">
      <w:pPr>
        <w:numPr>
          <w:ilvl w:val="0"/>
          <w:numId w:val="35"/>
        </w:numPr>
        <w:spacing w:before="156" w:beforeLines="50" w:after="156" w:afterLines="50" w:line="360" w:lineRule="auto"/>
        <w:rPr>
          <w:rFonts w:eastAsia="楷体_GB2312"/>
          <w:sz w:val="24"/>
        </w:rPr>
      </w:pPr>
      <w:r>
        <w:rPr>
          <w:rFonts w:eastAsia="楷体_GB2312"/>
          <w:sz w:val="24"/>
        </w:rPr>
        <w:t>贵行如欲同意接受本要约，应于收到本要约后【】个“工作日”内将承诺通知发送给本公司。</w:t>
      </w:r>
    </w:p>
    <w:p w14:paraId="173061B2">
      <w:pPr>
        <w:spacing w:before="156" w:beforeLines="50" w:after="156" w:afterLines="50" w:line="360" w:lineRule="auto"/>
        <w:ind w:left="-62" w:firstLine="480" w:firstLineChars="200"/>
        <w:rPr>
          <w:rFonts w:eastAsia="楷体_GB2312"/>
          <w:sz w:val="24"/>
        </w:rPr>
      </w:pPr>
      <w:r>
        <w:rPr>
          <w:rFonts w:eastAsia="楷体_GB2312"/>
          <w:sz w:val="24"/>
        </w:rPr>
        <w:t>若无相反定义，本通知使用的词语和表述与编号为【主定义表编号】的《【信托名称】主定义表》、“《信托合同》”中的相同词语和表述具有相同含义。</w:t>
      </w:r>
    </w:p>
    <w:p w14:paraId="3620ADA0">
      <w:pPr>
        <w:spacing w:before="156" w:beforeLines="50" w:after="156" w:afterLines="50" w:line="276" w:lineRule="auto"/>
        <w:jc w:val="right"/>
        <w:rPr>
          <w:rFonts w:eastAsia="楷体_GB2312"/>
          <w:sz w:val="24"/>
        </w:rPr>
      </w:pPr>
      <w:r>
        <w:rPr>
          <w:rFonts w:eastAsia="楷体_GB2312"/>
          <w:sz w:val="24"/>
        </w:rPr>
        <w:t>受托人：【受托机构全称】</w:t>
      </w:r>
    </w:p>
    <w:p w14:paraId="1EB1A34D">
      <w:pPr>
        <w:spacing w:before="156" w:beforeLines="50" w:after="156" w:afterLines="50" w:line="276" w:lineRule="auto"/>
        <w:ind w:right="84"/>
        <w:jc w:val="right"/>
        <w:rPr>
          <w:rFonts w:eastAsia="楷体_GB2312"/>
          <w:sz w:val="24"/>
        </w:rPr>
      </w:pPr>
      <w:r>
        <w:rPr>
          <w:rFonts w:eastAsia="楷体_GB2312"/>
          <w:sz w:val="24"/>
        </w:rPr>
        <w:t>法定代表人或授权代理人：</w:t>
      </w:r>
    </w:p>
    <w:p w14:paraId="1FD28216">
      <w:pPr>
        <w:spacing w:before="156" w:beforeLines="50" w:after="156" w:afterLines="50" w:line="276" w:lineRule="auto"/>
        <w:jc w:val="right"/>
        <w:rPr>
          <w:rFonts w:eastAsia="楷体_GB2312"/>
        </w:rPr>
      </w:pPr>
      <w:r>
        <w:rPr>
          <w:rFonts w:eastAsia="楷体_GB2312"/>
          <w:sz w:val="24"/>
        </w:rPr>
        <w:t>【】年【】月【】日</w:t>
      </w:r>
    </w:p>
    <w:p w14:paraId="69D559E9">
      <w:pPr>
        <w:spacing w:before="156" w:beforeLines="50" w:after="156" w:afterLines="50" w:line="360" w:lineRule="auto"/>
        <w:rPr>
          <w:rFonts w:eastAsia="楷体_GB2312"/>
          <w:b/>
          <w:sz w:val="24"/>
        </w:rPr>
      </w:pPr>
      <w:r>
        <w:rPr>
          <w:rFonts w:eastAsia="楷体_GB2312"/>
          <w:b/>
          <w:sz w:val="24"/>
        </w:rPr>
        <w:t>附：清仓回购通知</w:t>
      </w:r>
    </w:p>
    <w:p w14:paraId="38E72A45">
      <w:pPr>
        <w:spacing w:before="156" w:beforeLines="50" w:after="156" w:afterLines="50" w:line="360" w:lineRule="auto"/>
        <w:ind w:right="480"/>
        <w:outlineLvl w:val="0"/>
        <w:rPr>
          <w:rFonts w:eastAsia="楷体_GB2312"/>
          <w:b/>
          <w:sz w:val="24"/>
        </w:rPr>
      </w:pPr>
      <w:r>
        <w:rPr>
          <w:rFonts w:eastAsia="楷体_GB2312"/>
          <w:b/>
          <w:sz w:val="24"/>
        </w:rPr>
        <w:br w:type="page"/>
      </w:r>
      <w:bookmarkStart w:id="887" w:name="_Toc402883987"/>
      <w:bookmarkStart w:id="888" w:name="_Toc51277246"/>
      <w:bookmarkStart w:id="889" w:name="_Toc24654"/>
      <w:bookmarkStart w:id="890" w:name="_Toc416687735"/>
      <w:r>
        <w:rPr>
          <w:rFonts w:eastAsia="楷体_GB2312"/>
          <w:b/>
          <w:sz w:val="24"/>
        </w:rPr>
        <w:t>附件八：清仓回购承诺通知格式</w:t>
      </w:r>
      <w:bookmarkEnd w:id="887"/>
      <w:bookmarkEnd w:id="888"/>
      <w:bookmarkEnd w:id="889"/>
      <w:bookmarkEnd w:id="890"/>
    </w:p>
    <w:p w14:paraId="174D5EC1">
      <w:pPr>
        <w:spacing w:before="156" w:beforeLines="50" w:after="156" w:afterLines="50" w:line="360" w:lineRule="auto"/>
        <w:jc w:val="center"/>
        <w:rPr>
          <w:rFonts w:eastAsia="楷体_GB2312"/>
          <w:sz w:val="28"/>
          <w:szCs w:val="28"/>
        </w:rPr>
      </w:pPr>
      <w:r>
        <w:rPr>
          <w:rFonts w:eastAsia="楷体_GB2312"/>
          <w:b/>
          <w:sz w:val="28"/>
          <w:szCs w:val="28"/>
        </w:rPr>
        <w:t>清仓回购承诺通知书（格式）</w:t>
      </w:r>
    </w:p>
    <w:p w14:paraId="0E38C2BF">
      <w:pPr>
        <w:spacing w:before="156" w:beforeLines="50" w:after="156" w:afterLines="50" w:line="360" w:lineRule="auto"/>
        <w:rPr>
          <w:rFonts w:eastAsia="楷体_GB2312"/>
          <w:sz w:val="24"/>
        </w:rPr>
      </w:pPr>
      <w:r>
        <w:rPr>
          <w:rFonts w:eastAsia="楷体_GB2312"/>
          <w:sz w:val="24"/>
        </w:rPr>
        <w:t>致：</w:t>
      </w:r>
      <w:r>
        <w:rPr>
          <w:rFonts w:eastAsia="楷体_GB2312"/>
          <w:sz w:val="24"/>
        </w:rPr>
        <w:tab/>
      </w:r>
      <w:r>
        <w:rPr>
          <w:rFonts w:eastAsia="楷体_GB2312"/>
          <w:sz w:val="24"/>
        </w:rPr>
        <w:t>【受托机构全称】（“受托人”）</w:t>
      </w:r>
    </w:p>
    <w:p w14:paraId="3293C871">
      <w:pPr>
        <w:spacing w:before="156" w:beforeLines="50" w:after="156" w:afterLines="50" w:line="360" w:lineRule="auto"/>
        <w:rPr>
          <w:rFonts w:eastAsia="楷体_GB2312"/>
          <w:sz w:val="24"/>
        </w:rPr>
      </w:pPr>
      <w:r>
        <w:rPr>
          <w:rFonts w:eastAsia="楷体_GB2312"/>
          <w:sz w:val="24"/>
        </w:rPr>
        <w:t>日期：_______________</w:t>
      </w:r>
    </w:p>
    <w:p w14:paraId="6A7D7396">
      <w:pPr>
        <w:spacing w:before="156" w:beforeLines="50" w:after="156" w:afterLines="50" w:line="360" w:lineRule="auto"/>
        <w:ind w:left="-62" w:firstLine="480" w:firstLineChars="200"/>
        <w:rPr>
          <w:rFonts w:eastAsia="楷体_GB2312"/>
          <w:sz w:val="24"/>
        </w:rPr>
      </w:pPr>
      <w:r>
        <w:rPr>
          <w:rFonts w:eastAsia="楷体_GB2312"/>
          <w:sz w:val="24"/>
        </w:rPr>
        <w:t>根据【发起机构全称】与【受托机构全称】签署的编号为【信托合同编号】的《</w:t>
      </w:r>
      <w:r>
        <w:rPr>
          <w:rFonts w:eastAsia="楷体_GB2312"/>
          <w:color w:val="000000"/>
          <w:sz w:val="24"/>
        </w:rPr>
        <w:t>【信托名称】</w:t>
      </w:r>
      <w:r>
        <w:rPr>
          <w:rFonts w:eastAsia="楷体_GB2312"/>
          <w:sz w:val="24"/>
        </w:rPr>
        <w:t>之信托合同》（“《信托合同》”）的约定，本行（作为“委托人”）向贵公司（作为“受托人”）通知如下：</w:t>
      </w:r>
    </w:p>
    <w:p w14:paraId="69C827D8">
      <w:pPr>
        <w:numPr>
          <w:ilvl w:val="0"/>
          <w:numId w:val="36"/>
        </w:numPr>
        <w:spacing w:before="156" w:beforeLines="50" w:after="156" w:afterLines="50" w:line="360" w:lineRule="auto"/>
        <w:rPr>
          <w:rFonts w:eastAsia="楷体_GB2312"/>
          <w:sz w:val="24"/>
        </w:rPr>
      </w:pPr>
      <w:r>
        <w:rPr>
          <w:rFonts w:eastAsia="楷体_GB2312"/>
          <w:sz w:val="24"/>
        </w:rPr>
        <w:t>本行已收到贵公司于【</w:t>
      </w:r>
      <w:r>
        <w:rPr>
          <w:rFonts w:eastAsia="楷体_GB2312"/>
          <w:i/>
          <w:iCs/>
          <w:sz w:val="24"/>
        </w:rPr>
        <w:t>日期</w:t>
      </w:r>
      <w:r>
        <w:rPr>
          <w:rFonts w:eastAsia="楷体_GB2312"/>
          <w:sz w:val="24"/>
        </w:rPr>
        <w:t>】发出的清仓回购要约（见本通知附件），且本行同意接受该要约。</w:t>
      </w:r>
    </w:p>
    <w:p w14:paraId="3EAD67F4">
      <w:pPr>
        <w:numPr>
          <w:ilvl w:val="0"/>
          <w:numId w:val="36"/>
        </w:numPr>
        <w:spacing w:before="156" w:beforeLines="50" w:after="156" w:afterLines="50" w:line="360" w:lineRule="auto"/>
        <w:rPr>
          <w:rFonts w:eastAsia="楷体_GB2312"/>
          <w:sz w:val="24"/>
        </w:rPr>
      </w:pPr>
      <w:r>
        <w:rPr>
          <w:rFonts w:eastAsia="楷体_GB2312"/>
          <w:sz w:val="24"/>
        </w:rPr>
        <w:t>本通知为不可撤销的承诺通知。</w:t>
      </w:r>
    </w:p>
    <w:p w14:paraId="1D79D75B">
      <w:pPr>
        <w:spacing w:before="156" w:beforeLines="50" w:after="156" w:afterLines="50" w:line="360" w:lineRule="auto"/>
        <w:ind w:left="-62" w:firstLine="480" w:firstLineChars="200"/>
        <w:rPr>
          <w:rFonts w:eastAsia="楷体_GB2312"/>
          <w:sz w:val="24"/>
        </w:rPr>
      </w:pPr>
      <w:r>
        <w:rPr>
          <w:rFonts w:eastAsia="楷体_GB2312"/>
          <w:sz w:val="24"/>
        </w:rPr>
        <w:t>若无相反定义，本通知使用的词语和表述与编号为【主定义表编号】的《【信托名称】主定义表》、“《信托合同》”中的相同词语和表述具有相同含义。</w:t>
      </w:r>
    </w:p>
    <w:p w14:paraId="66477E1F">
      <w:pPr>
        <w:spacing w:before="156" w:beforeLines="50" w:after="156" w:afterLines="50" w:line="360" w:lineRule="auto"/>
        <w:rPr>
          <w:rFonts w:eastAsia="楷体_GB2312"/>
          <w:b/>
          <w:sz w:val="28"/>
          <w:szCs w:val="28"/>
        </w:rPr>
      </w:pPr>
    </w:p>
    <w:p w14:paraId="5FBE50B7">
      <w:pPr>
        <w:spacing w:before="156" w:beforeLines="50" w:after="156" w:afterLines="50" w:line="360" w:lineRule="auto"/>
        <w:ind w:left="1" w:hanging="1"/>
        <w:jc w:val="left"/>
        <w:rPr>
          <w:rFonts w:eastAsia="楷体_GB2312"/>
          <w:sz w:val="24"/>
        </w:rPr>
      </w:pPr>
      <w:r>
        <w:rPr>
          <w:rFonts w:eastAsia="楷体_GB2312"/>
          <w:sz w:val="24"/>
        </w:rPr>
        <w:t>委托人：【发起机构全称】</w:t>
      </w:r>
    </w:p>
    <w:p w14:paraId="232B5413">
      <w:pPr>
        <w:spacing w:before="156" w:beforeLines="50" w:after="156" w:afterLines="50" w:line="360" w:lineRule="auto"/>
        <w:ind w:left="1" w:hanging="1"/>
        <w:jc w:val="left"/>
        <w:rPr>
          <w:rFonts w:eastAsia="楷体_GB2312"/>
          <w:sz w:val="24"/>
        </w:rPr>
      </w:pPr>
      <w:r>
        <w:rPr>
          <w:rFonts w:eastAsia="楷体_GB2312"/>
          <w:sz w:val="24"/>
        </w:rPr>
        <w:t>法定代表人或授权代理人：</w:t>
      </w:r>
    </w:p>
    <w:p w14:paraId="50451D57">
      <w:pPr>
        <w:spacing w:before="156" w:beforeLines="50" w:after="156" w:afterLines="50" w:line="360" w:lineRule="auto"/>
        <w:ind w:left="1" w:hanging="1"/>
        <w:jc w:val="left"/>
        <w:rPr>
          <w:rFonts w:eastAsia="楷体_GB2312"/>
          <w:sz w:val="24"/>
        </w:rPr>
      </w:pPr>
      <w:r>
        <w:rPr>
          <w:rFonts w:eastAsia="楷体_GB2312"/>
          <w:sz w:val="24"/>
        </w:rPr>
        <w:t>签署日期：【】年【】月【】日</w:t>
      </w:r>
    </w:p>
    <w:p w14:paraId="0683748A">
      <w:pPr>
        <w:spacing w:before="156" w:beforeLines="50" w:after="156" w:afterLines="50" w:line="360" w:lineRule="auto"/>
        <w:ind w:left="1" w:hanging="1"/>
        <w:jc w:val="left"/>
        <w:rPr>
          <w:rFonts w:eastAsia="楷体_GB2312"/>
          <w:sz w:val="24"/>
        </w:rPr>
      </w:pPr>
    </w:p>
    <w:p w14:paraId="7C1A951E">
      <w:pPr>
        <w:spacing w:before="156" w:beforeLines="50" w:after="156" w:afterLines="50" w:line="360" w:lineRule="auto"/>
        <w:rPr>
          <w:rFonts w:eastAsia="楷体_GB2312"/>
          <w:b/>
          <w:sz w:val="24"/>
        </w:rPr>
      </w:pPr>
      <w:r>
        <w:rPr>
          <w:rFonts w:eastAsia="楷体_GB2312"/>
          <w:b/>
          <w:sz w:val="24"/>
        </w:rPr>
        <w:t>附：清仓回购要约</w:t>
      </w:r>
    </w:p>
    <w:p w14:paraId="22D78893">
      <w:pPr>
        <w:spacing w:line="380" w:lineRule="atLeast"/>
        <w:outlineLvl w:val="0"/>
        <w:rPr>
          <w:rFonts w:eastAsia="楷体_GB2312"/>
          <w:sz w:val="24"/>
        </w:rPr>
      </w:pPr>
      <w:r>
        <w:rPr>
          <w:rFonts w:eastAsia="楷体_GB2312"/>
          <w:sz w:val="24"/>
        </w:rPr>
        <w:br w:type="page"/>
      </w:r>
    </w:p>
    <w:p w14:paraId="419F3FCD">
      <w:pPr>
        <w:spacing w:line="380" w:lineRule="atLeast"/>
        <w:outlineLvl w:val="0"/>
        <w:rPr>
          <w:rFonts w:eastAsia="楷体_GB2312"/>
          <w:b/>
          <w:sz w:val="24"/>
        </w:rPr>
      </w:pPr>
      <w:bookmarkStart w:id="891" w:name="_Toc7309"/>
      <w:bookmarkStart w:id="892" w:name="_Toc51277247"/>
      <w:r>
        <w:rPr>
          <w:rFonts w:eastAsia="楷体_GB2312"/>
          <w:b/>
          <w:sz w:val="24"/>
        </w:rPr>
        <w:t>附件九：信托会计处理的原则和方式</w:t>
      </w:r>
      <w:bookmarkEnd w:id="882"/>
      <w:bookmarkEnd w:id="891"/>
      <w:bookmarkEnd w:id="892"/>
    </w:p>
    <w:p w14:paraId="155F717E">
      <w:pPr>
        <w:spacing w:line="380" w:lineRule="atLeast"/>
        <w:rPr>
          <w:rFonts w:eastAsia="楷体_GB2312"/>
          <w:sz w:val="24"/>
        </w:rPr>
      </w:pPr>
    </w:p>
    <w:p w14:paraId="0991B655">
      <w:pPr>
        <w:pStyle w:val="8"/>
        <w:spacing w:after="0" w:line="380" w:lineRule="atLeast"/>
        <w:ind w:firstLine="504"/>
        <w:jc w:val="center"/>
        <w:rPr>
          <w:rFonts w:eastAsia="楷体_GB2312"/>
          <w:b/>
          <w:sz w:val="28"/>
          <w:szCs w:val="28"/>
        </w:rPr>
      </w:pPr>
      <w:r>
        <w:rPr>
          <w:rFonts w:eastAsia="楷体_GB2312"/>
          <w:b/>
          <w:sz w:val="28"/>
          <w:szCs w:val="28"/>
        </w:rPr>
        <w:t>信托会计处理的原则和方式</w:t>
      </w:r>
    </w:p>
    <w:p w14:paraId="360CA043">
      <w:pPr>
        <w:pStyle w:val="39"/>
        <w:spacing w:after="0" w:line="380" w:lineRule="atLeast"/>
        <w:rPr>
          <w:rFonts w:eastAsia="楷体_GB2312"/>
          <w:lang w:eastAsia="zh-CN"/>
        </w:rPr>
      </w:pPr>
    </w:p>
    <w:p w14:paraId="1D6D0BD3">
      <w:pPr>
        <w:pStyle w:val="39"/>
        <w:numPr>
          <w:ilvl w:val="2"/>
          <w:numId w:val="1"/>
        </w:numPr>
        <w:tabs>
          <w:tab w:val="left" w:pos="709"/>
          <w:tab w:val="clear" w:pos="900"/>
        </w:tabs>
        <w:spacing w:after="0" w:line="380" w:lineRule="atLeast"/>
        <w:ind w:left="709" w:hanging="529"/>
        <w:rPr>
          <w:rFonts w:eastAsia="楷体_GB2312"/>
          <w:lang w:eastAsia="zh-CN"/>
        </w:rPr>
      </w:pPr>
      <w:r>
        <w:rPr>
          <w:rFonts w:eastAsia="楷体_GB2312"/>
          <w:lang w:eastAsia="zh-CN"/>
        </w:rPr>
        <w:t>“信托”涉及的各交易主体（包括“受托人”、“贷款服务机构”和“资金保管机构”等）应根据本身所负责的事务，采用适当的形式为“信托”单独记账、单独核算、单独编制财务会计报告。</w:t>
      </w:r>
    </w:p>
    <w:p w14:paraId="7B6B5D30">
      <w:pPr>
        <w:pStyle w:val="39"/>
        <w:spacing w:after="0" w:line="380" w:lineRule="atLeast"/>
        <w:rPr>
          <w:rFonts w:eastAsia="楷体_GB2312"/>
          <w:lang w:eastAsia="zh-CN"/>
        </w:rPr>
      </w:pPr>
    </w:p>
    <w:p w14:paraId="60E2FBD6">
      <w:pPr>
        <w:pStyle w:val="39"/>
        <w:numPr>
          <w:ilvl w:val="2"/>
          <w:numId w:val="1"/>
        </w:numPr>
        <w:tabs>
          <w:tab w:val="left" w:pos="709"/>
          <w:tab w:val="clear" w:pos="900"/>
        </w:tabs>
        <w:spacing w:after="0" w:line="380" w:lineRule="atLeast"/>
        <w:ind w:left="709" w:hanging="529"/>
        <w:rPr>
          <w:rFonts w:eastAsia="楷体_GB2312"/>
          <w:lang w:eastAsia="zh-CN"/>
        </w:rPr>
      </w:pPr>
      <w:r>
        <w:rPr>
          <w:rFonts w:eastAsia="楷体_GB2312"/>
          <w:lang w:eastAsia="zh-CN"/>
        </w:rPr>
        <w:t>“信托”涉及的各交易主体应根据财政部制定的《企业会计准则》以及监管机关关于信贷资产证券化试点的一系列管理规定进行会计处理，分工完成整个信托过程的会计处理。</w:t>
      </w:r>
    </w:p>
    <w:p w14:paraId="7EE43541">
      <w:pPr>
        <w:pStyle w:val="39"/>
        <w:spacing w:after="0" w:line="380" w:lineRule="atLeast"/>
        <w:rPr>
          <w:rFonts w:eastAsia="楷体_GB2312"/>
          <w:lang w:eastAsia="zh-CN"/>
        </w:rPr>
      </w:pPr>
    </w:p>
    <w:p w14:paraId="13DBE9C4">
      <w:pPr>
        <w:pStyle w:val="40"/>
        <w:spacing w:after="0" w:line="380" w:lineRule="atLeast"/>
        <w:rPr>
          <w:rFonts w:eastAsia="楷体_GB2312"/>
          <w:lang w:eastAsia="zh-CN"/>
        </w:rPr>
      </w:pPr>
      <w:r>
        <w:rPr>
          <w:rFonts w:eastAsia="楷体_GB2312"/>
          <w:lang w:eastAsia="zh-CN"/>
        </w:rPr>
        <w:t>“受托人”根据《企业会计准则》为“信托”建立一套完整的核算体系，对“信贷资产”的管理进行总账核算。</w:t>
      </w:r>
    </w:p>
    <w:p w14:paraId="76A3AE16">
      <w:pPr>
        <w:pStyle w:val="40"/>
        <w:numPr>
          <w:ilvl w:val="0"/>
          <w:numId w:val="0"/>
        </w:numPr>
        <w:spacing w:after="0" w:line="380" w:lineRule="atLeast"/>
        <w:ind w:left="1440"/>
        <w:rPr>
          <w:rFonts w:eastAsia="楷体_GB2312"/>
          <w:lang w:eastAsia="zh-CN"/>
        </w:rPr>
      </w:pPr>
    </w:p>
    <w:p w14:paraId="005A7071">
      <w:pPr>
        <w:pStyle w:val="40"/>
        <w:numPr>
          <w:ilvl w:val="0"/>
          <w:numId w:val="0"/>
        </w:numPr>
        <w:spacing w:after="0" w:line="380" w:lineRule="atLeast"/>
        <w:ind w:left="1440"/>
        <w:rPr>
          <w:rFonts w:eastAsia="楷体_GB2312"/>
          <w:lang w:eastAsia="zh-CN"/>
        </w:rPr>
      </w:pPr>
      <w:r>
        <w:rPr>
          <w:rFonts w:eastAsia="楷体_GB2312"/>
          <w:lang w:eastAsia="zh-CN"/>
        </w:rPr>
        <w:t>受托人对“信贷资产”进行会计核算的直接依据是“贷款服务机构报告”、“贷款服务机构”会计信息等统计报告，不同于一般意义上依据原始凭证进行的会计核算。“受托人”对上述信托财产不进行逐笔的、明细的会计核算。</w:t>
      </w:r>
    </w:p>
    <w:p w14:paraId="289848A3">
      <w:pPr>
        <w:pStyle w:val="40"/>
        <w:numPr>
          <w:ilvl w:val="0"/>
          <w:numId w:val="0"/>
        </w:numPr>
        <w:spacing w:after="0" w:line="380" w:lineRule="atLeast"/>
        <w:rPr>
          <w:rFonts w:eastAsia="楷体_GB2312"/>
          <w:lang w:eastAsia="zh-CN"/>
        </w:rPr>
      </w:pPr>
    </w:p>
    <w:p w14:paraId="752767C9">
      <w:pPr>
        <w:pStyle w:val="40"/>
        <w:spacing w:after="0" w:line="380" w:lineRule="atLeast"/>
        <w:rPr>
          <w:rFonts w:eastAsia="楷体_GB2312"/>
          <w:lang w:eastAsia="zh-CN"/>
        </w:rPr>
      </w:pPr>
      <w:r>
        <w:rPr>
          <w:rFonts w:eastAsia="楷体_GB2312"/>
          <w:lang w:eastAsia="zh-CN"/>
        </w:rPr>
        <w:t>“贷款服务机构”负责“信贷资产”的逐笔明细核算。“贷款服务机构”应按一般标准管理、核算“信托”的“信贷资产”，包括有关管理方法、违约贷款处置程序及方法和账务处理方法。</w:t>
      </w:r>
    </w:p>
    <w:p w14:paraId="03C578B1">
      <w:pPr>
        <w:pStyle w:val="40"/>
        <w:numPr>
          <w:ilvl w:val="0"/>
          <w:numId w:val="0"/>
        </w:numPr>
        <w:spacing w:after="0" w:line="380" w:lineRule="atLeast"/>
        <w:ind w:left="1440"/>
        <w:rPr>
          <w:rFonts w:eastAsia="楷体_GB2312"/>
          <w:lang w:eastAsia="zh-CN"/>
        </w:rPr>
      </w:pPr>
    </w:p>
    <w:p w14:paraId="49B3DCB7">
      <w:pPr>
        <w:pStyle w:val="40"/>
        <w:numPr>
          <w:ilvl w:val="0"/>
          <w:numId w:val="0"/>
        </w:numPr>
        <w:spacing w:after="0" w:line="380" w:lineRule="atLeast"/>
        <w:ind w:left="1440"/>
        <w:rPr>
          <w:rFonts w:eastAsia="楷体_GB2312"/>
          <w:lang w:eastAsia="zh-CN"/>
        </w:rPr>
      </w:pPr>
      <w:r>
        <w:rPr>
          <w:rFonts w:eastAsia="楷体_GB2312"/>
          <w:lang w:eastAsia="zh-CN"/>
        </w:rPr>
        <w:t>“受托人”将“贷款服务机构报告”和“贷款服务机构”会计信息作为会计处理依据。“贷款服务机构”应保证在同一报告期内，“贷款服务机构报告”和“贷款服务机构”会计信息的有关内容和其会计账面数字一致。</w:t>
      </w:r>
    </w:p>
    <w:p w14:paraId="14273E16">
      <w:pPr>
        <w:pStyle w:val="40"/>
        <w:numPr>
          <w:ilvl w:val="0"/>
          <w:numId w:val="0"/>
        </w:numPr>
        <w:spacing w:after="0" w:line="380" w:lineRule="atLeast"/>
        <w:rPr>
          <w:rFonts w:eastAsia="楷体_GB2312"/>
          <w:lang w:eastAsia="zh-CN"/>
        </w:rPr>
      </w:pPr>
    </w:p>
    <w:p w14:paraId="40859128">
      <w:pPr>
        <w:pStyle w:val="40"/>
        <w:spacing w:after="0" w:line="380" w:lineRule="atLeast"/>
        <w:rPr>
          <w:rFonts w:eastAsia="楷体_GB2312"/>
          <w:lang w:eastAsia="zh-CN"/>
        </w:rPr>
      </w:pPr>
      <w:r>
        <w:rPr>
          <w:rFonts w:eastAsia="楷体_GB2312"/>
          <w:lang w:eastAsia="zh-CN"/>
        </w:rPr>
        <w:t>“受托人”依据“贷款服务机构报告”负责计算“信托”发生的费用、应付各服务机构报酬和应付“资产支持证券持有人”的本息，并向“资金保管机构”发出划款指令。</w:t>
      </w:r>
    </w:p>
    <w:p w14:paraId="5F1E8A17">
      <w:pPr>
        <w:pStyle w:val="40"/>
        <w:numPr>
          <w:ilvl w:val="0"/>
          <w:numId w:val="0"/>
        </w:numPr>
        <w:spacing w:after="0" w:line="380" w:lineRule="atLeast"/>
        <w:ind w:left="1440"/>
        <w:rPr>
          <w:rFonts w:eastAsia="楷体_GB2312"/>
          <w:lang w:eastAsia="zh-CN"/>
        </w:rPr>
      </w:pPr>
    </w:p>
    <w:p w14:paraId="31A4770A">
      <w:pPr>
        <w:pStyle w:val="40"/>
        <w:numPr>
          <w:ilvl w:val="0"/>
          <w:numId w:val="0"/>
        </w:numPr>
        <w:spacing w:after="0" w:line="380" w:lineRule="atLeast"/>
        <w:ind w:left="1440"/>
        <w:rPr>
          <w:rFonts w:eastAsia="楷体_GB2312"/>
          <w:lang w:eastAsia="zh-CN"/>
        </w:rPr>
      </w:pPr>
      <w:r>
        <w:rPr>
          <w:rFonts w:eastAsia="楷体_GB2312"/>
          <w:lang w:eastAsia="zh-CN"/>
        </w:rPr>
        <w:t>“受托人”依据“贷款服务机构报告”计提当季度应付的各项费用以及“资产支持证券持有人”收益。“受托人”根据相关的“贷款服务机构报告”、“资金保管报告”核算前一个季度计提的各项费用及“资产支持证券持有人”收益的支付情况。</w:t>
      </w:r>
    </w:p>
    <w:p w14:paraId="0D777694">
      <w:pPr>
        <w:pStyle w:val="40"/>
        <w:numPr>
          <w:ilvl w:val="0"/>
          <w:numId w:val="0"/>
        </w:numPr>
        <w:spacing w:after="0" w:line="380" w:lineRule="atLeast"/>
        <w:rPr>
          <w:rFonts w:eastAsia="楷体_GB2312"/>
          <w:lang w:eastAsia="zh-CN"/>
        </w:rPr>
      </w:pPr>
    </w:p>
    <w:p w14:paraId="3B0CCB3B">
      <w:pPr>
        <w:pStyle w:val="39"/>
        <w:numPr>
          <w:ilvl w:val="2"/>
          <w:numId w:val="1"/>
        </w:numPr>
        <w:tabs>
          <w:tab w:val="left" w:pos="709"/>
          <w:tab w:val="clear" w:pos="900"/>
        </w:tabs>
        <w:spacing w:after="0" w:line="380" w:lineRule="atLeast"/>
        <w:ind w:left="709" w:hanging="529"/>
        <w:rPr>
          <w:rFonts w:eastAsia="楷体_GB2312"/>
          <w:lang w:eastAsia="zh-CN"/>
        </w:rPr>
      </w:pPr>
      <w:r>
        <w:rPr>
          <w:rFonts w:eastAsia="楷体_GB2312"/>
          <w:lang w:eastAsia="zh-CN"/>
        </w:rPr>
        <w:t>因管理“信贷资产”等产生的会计凭证保存在“贷款服务机构”处；各项“信托”费用的结算单据、发票等原始凭证保存在“受托人”处。上述机构应按财政部会计档案管理有关规定保存上述会计档案。</w:t>
      </w:r>
    </w:p>
    <w:p w14:paraId="74DD6A80">
      <w:pPr>
        <w:pStyle w:val="39"/>
        <w:spacing w:after="0" w:line="380" w:lineRule="atLeast"/>
        <w:rPr>
          <w:rFonts w:eastAsia="楷体_GB2312"/>
          <w:lang w:eastAsia="zh-CN"/>
        </w:rPr>
      </w:pPr>
    </w:p>
    <w:p w14:paraId="6D4BA90F">
      <w:pPr>
        <w:pStyle w:val="39"/>
        <w:numPr>
          <w:ilvl w:val="2"/>
          <w:numId w:val="1"/>
        </w:numPr>
        <w:tabs>
          <w:tab w:val="left" w:pos="709"/>
          <w:tab w:val="clear" w:pos="900"/>
        </w:tabs>
        <w:spacing w:after="0" w:line="380" w:lineRule="atLeast"/>
        <w:ind w:left="709" w:hanging="529"/>
        <w:rPr>
          <w:rFonts w:eastAsia="楷体_GB2312"/>
          <w:lang w:eastAsia="zh-CN"/>
        </w:rPr>
      </w:pPr>
      <w:r>
        <w:rPr>
          <w:rFonts w:eastAsia="楷体_GB2312"/>
          <w:lang w:eastAsia="zh-CN"/>
        </w:rPr>
        <w:t>“信托”终止时“受托人”出具“信托”清算报告。信托清算报告公告期满</w:t>
      </w:r>
      <w:r>
        <w:rPr>
          <w:rFonts w:eastAsia="楷体_GB2312"/>
          <w:color w:val="000000"/>
          <w:lang w:eastAsia="zh-CN"/>
        </w:rPr>
        <w:t>且“信托终止日”时“资产支持证券”未兑付完毕的</w:t>
      </w:r>
      <w:r>
        <w:rPr>
          <w:rFonts w:eastAsia="楷体_GB2312"/>
          <w:lang w:eastAsia="zh-CN"/>
        </w:rPr>
        <w:t>“资产支持证券持有人”未提出异议后，“信托”涉及的各交易主体进行各自账目结转、封存。</w:t>
      </w:r>
    </w:p>
    <w:p w14:paraId="0AA18855">
      <w:pPr>
        <w:spacing w:line="380" w:lineRule="atLeast"/>
        <w:outlineLvl w:val="0"/>
        <w:rPr>
          <w:rFonts w:eastAsia="楷体_GB2312"/>
          <w:b/>
          <w:sz w:val="24"/>
        </w:rPr>
      </w:pPr>
      <w:r>
        <w:rPr>
          <w:rFonts w:eastAsia="楷体_GB2312"/>
          <w:sz w:val="24"/>
        </w:rPr>
        <w:br w:type="page"/>
      </w:r>
      <w:bookmarkStart w:id="893" w:name="_Toc373951578"/>
      <w:bookmarkStart w:id="894" w:name="_Toc51277248"/>
      <w:bookmarkStart w:id="895" w:name="_Toc15408"/>
      <w:r>
        <w:rPr>
          <w:rFonts w:eastAsia="楷体_GB2312"/>
          <w:b/>
          <w:sz w:val="24"/>
        </w:rPr>
        <w:t>附件十：受托机构报告格式</w:t>
      </w:r>
      <w:bookmarkEnd w:id="893"/>
      <w:bookmarkEnd w:id="894"/>
      <w:bookmarkEnd w:id="895"/>
    </w:p>
    <w:p w14:paraId="71F7DD4C">
      <w:pPr>
        <w:spacing w:line="380" w:lineRule="atLeast"/>
        <w:rPr>
          <w:rFonts w:eastAsia="楷体_GB2312"/>
          <w:b/>
          <w:sz w:val="24"/>
        </w:rPr>
      </w:pPr>
      <w:r>
        <w:rPr>
          <w:rFonts w:hint="eastAsia" w:eastAsia="楷体_GB2312"/>
          <w:b/>
          <w:i/>
          <w:iCs/>
          <w:color w:val="FF0000"/>
          <w:sz w:val="24"/>
        </w:rPr>
        <w:t>【注：报告格式与内容需要按届时所适用的最新信息披露指引进行调整并更新。】</w:t>
      </w:r>
    </w:p>
    <w:p w14:paraId="4CF1A432">
      <w:pPr>
        <w:pStyle w:val="8"/>
        <w:spacing w:line="360" w:lineRule="exact"/>
        <w:ind w:firstLine="504"/>
        <w:jc w:val="center"/>
        <w:rPr>
          <w:rFonts w:eastAsia="楷体_GB2312"/>
          <w:b/>
          <w:sz w:val="28"/>
          <w:szCs w:val="28"/>
        </w:rPr>
      </w:pPr>
    </w:p>
    <w:p w14:paraId="6D34E81B">
      <w:pPr>
        <w:pStyle w:val="8"/>
        <w:spacing w:line="360" w:lineRule="exact"/>
        <w:ind w:firstLine="504"/>
        <w:jc w:val="center"/>
        <w:rPr>
          <w:rFonts w:eastAsia="楷体_GB2312"/>
          <w:b/>
          <w:sz w:val="28"/>
          <w:szCs w:val="28"/>
        </w:rPr>
      </w:pPr>
      <w:r>
        <w:rPr>
          <w:rFonts w:eastAsia="楷体_GB2312"/>
          <w:b/>
          <w:sz w:val="28"/>
          <w:szCs w:val="28"/>
        </w:rPr>
        <w:t>受托机构报告格式</w:t>
      </w:r>
    </w:p>
    <w:p w14:paraId="21B93AC3">
      <w:pPr>
        <w:spacing w:line="380" w:lineRule="atLeast"/>
        <w:rPr>
          <w:rFonts w:eastAsia="楷体_GB2312"/>
          <w:b/>
          <w:sz w:val="24"/>
        </w:rPr>
      </w:pPr>
    </w:p>
    <w:p w14:paraId="5A10147E">
      <w:pPr>
        <w:jc w:val="center"/>
        <w:rPr>
          <w:rFonts w:eastAsia="楷体_GB2312"/>
          <w:b/>
          <w:sz w:val="32"/>
          <w:szCs w:val="32"/>
        </w:rPr>
      </w:pPr>
      <w:r>
        <w:rPr>
          <w:rFonts w:eastAsia="楷体_GB2312"/>
          <w:b/>
          <w:sz w:val="32"/>
          <w:szCs w:val="32"/>
        </w:rPr>
        <w:t>【信托名称】</w:t>
      </w:r>
    </w:p>
    <w:p w14:paraId="35EF14D1">
      <w:pPr>
        <w:jc w:val="center"/>
        <w:rPr>
          <w:rFonts w:eastAsia="楷体_GB2312"/>
          <w:b/>
          <w:sz w:val="44"/>
        </w:rPr>
      </w:pPr>
      <w:r>
        <w:rPr>
          <w:rFonts w:eastAsia="楷体_GB2312"/>
          <w:b/>
          <w:sz w:val="32"/>
          <w:szCs w:val="32"/>
        </w:rPr>
        <w:t>受托机构报告</w:t>
      </w:r>
    </w:p>
    <w:p w14:paraId="2FFE771C">
      <w:pPr>
        <w:jc w:val="center"/>
        <w:rPr>
          <w:rFonts w:eastAsia="楷体_GB2312"/>
          <w:b/>
          <w:sz w:val="44"/>
        </w:rPr>
      </w:pPr>
    </w:p>
    <w:p w14:paraId="502C3733">
      <w:pPr>
        <w:jc w:val="center"/>
        <w:rPr>
          <w:rFonts w:eastAsia="楷体_GB2312"/>
          <w:b/>
          <w:sz w:val="44"/>
        </w:rPr>
      </w:pPr>
      <w:r>
        <w:rPr>
          <w:rFonts w:eastAsia="楷体_GB2312"/>
          <w:b/>
          <w:sz w:val="44"/>
        </w:rPr>
        <w:t>第XX期</w:t>
      </w:r>
    </w:p>
    <w:p w14:paraId="4B4E8B0D">
      <w:pPr>
        <w:spacing w:line="360" w:lineRule="auto"/>
        <w:rPr>
          <w:rFonts w:eastAsia="楷体_GB2312"/>
          <w:b/>
          <w:sz w:val="44"/>
        </w:rPr>
      </w:pPr>
    </w:p>
    <w:p w14:paraId="1F393E4D">
      <w:pPr>
        <w:spacing w:line="360" w:lineRule="auto"/>
        <w:rPr>
          <w:rFonts w:eastAsia="楷体_GB2312"/>
          <w:b/>
          <w:color w:val="FF00FF"/>
        </w:rPr>
      </w:pPr>
    </w:p>
    <w:tbl>
      <w:tblPr>
        <w:tblStyle w:val="27"/>
        <w:tblW w:w="6360" w:type="dxa"/>
        <w:jc w:val="center"/>
        <w:tblLayout w:type="fixed"/>
        <w:tblCellMar>
          <w:top w:w="0" w:type="dxa"/>
          <w:left w:w="0" w:type="dxa"/>
          <w:bottom w:w="0" w:type="dxa"/>
          <w:right w:w="0" w:type="dxa"/>
        </w:tblCellMar>
      </w:tblPr>
      <w:tblGrid>
        <w:gridCol w:w="6360"/>
      </w:tblGrid>
      <w:tr w14:paraId="185AFA4B">
        <w:tblPrEx>
          <w:tblCellMar>
            <w:top w:w="0" w:type="dxa"/>
            <w:left w:w="0" w:type="dxa"/>
            <w:bottom w:w="0" w:type="dxa"/>
            <w:right w:w="0" w:type="dxa"/>
          </w:tblCellMar>
        </w:tblPrEx>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7217DBDF">
            <w:pPr>
              <w:rPr>
                <w:rFonts w:eastAsia="楷体_GB2312"/>
                <w:b/>
              </w:rPr>
            </w:pPr>
            <w:r>
              <w:rPr>
                <w:rFonts w:eastAsia="楷体_GB2312"/>
                <w:b/>
              </w:rPr>
              <w:t>受托人管理信托财产应恪尽职守，履行诚实、信用、谨慎、有效管理义务。依据信托合同规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7540C185">
      <w:pPr>
        <w:spacing w:line="360" w:lineRule="auto"/>
        <w:jc w:val="center"/>
        <w:rPr>
          <w:rFonts w:eastAsia="楷体_GB2312"/>
          <w:b/>
          <w:color w:val="FF00FF"/>
        </w:rPr>
      </w:pPr>
    </w:p>
    <w:p w14:paraId="504D06F3">
      <w:pPr>
        <w:spacing w:line="360" w:lineRule="auto"/>
        <w:rPr>
          <w:rFonts w:eastAsia="楷体_GB2312"/>
          <w:sz w:val="32"/>
        </w:rPr>
      </w:pPr>
    </w:p>
    <w:tbl>
      <w:tblPr>
        <w:tblStyle w:val="27"/>
        <w:tblW w:w="7350" w:type="dxa"/>
        <w:jc w:val="center"/>
        <w:tblLayout w:type="fixed"/>
        <w:tblCellMar>
          <w:top w:w="0" w:type="dxa"/>
          <w:left w:w="0" w:type="dxa"/>
          <w:bottom w:w="0" w:type="dxa"/>
          <w:right w:w="0" w:type="dxa"/>
        </w:tblCellMar>
      </w:tblPr>
      <w:tblGrid>
        <w:gridCol w:w="1680"/>
        <w:gridCol w:w="5670"/>
      </w:tblGrid>
      <w:tr w14:paraId="66AB149C">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36106707">
            <w:pPr>
              <w:jc w:val="right"/>
              <w:rPr>
                <w:rFonts w:eastAsia="楷体_GB2312"/>
                <w:b/>
              </w:rPr>
            </w:pPr>
            <w:r>
              <w:rPr>
                <w:rFonts w:eastAsia="楷体_GB2312"/>
                <w:b/>
              </w:rPr>
              <w:t>受托人：</w:t>
            </w:r>
          </w:p>
        </w:tc>
        <w:tc>
          <w:tcPr>
            <w:tcW w:w="5670" w:type="dxa"/>
            <w:tcBorders>
              <w:top w:val="nil"/>
              <w:left w:val="nil"/>
              <w:bottom w:val="nil"/>
              <w:right w:val="nil"/>
            </w:tcBorders>
            <w:vAlign w:val="bottom"/>
          </w:tcPr>
          <w:p w14:paraId="2E4D4DB6">
            <w:pPr>
              <w:rPr>
                <w:rFonts w:eastAsia="楷体_GB2312"/>
                <w:b/>
              </w:rPr>
            </w:pPr>
            <w:r>
              <w:rPr>
                <w:rFonts w:eastAsia="楷体_GB2312"/>
                <w:b/>
              </w:rPr>
              <w:t>【受托机构全称】</w:t>
            </w:r>
          </w:p>
        </w:tc>
      </w:tr>
      <w:tr w14:paraId="51A8F4A0">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4C42882D">
            <w:pPr>
              <w:jc w:val="right"/>
              <w:rPr>
                <w:rFonts w:eastAsia="楷体_GB2312"/>
                <w:b/>
              </w:rPr>
            </w:pPr>
            <w:r>
              <w:rPr>
                <w:rFonts w:eastAsia="楷体_GB2312"/>
                <w:b/>
              </w:rPr>
              <w:t>报告日期：</w:t>
            </w:r>
          </w:p>
        </w:tc>
        <w:tc>
          <w:tcPr>
            <w:tcW w:w="5670" w:type="dxa"/>
            <w:tcBorders>
              <w:top w:val="nil"/>
              <w:left w:val="nil"/>
              <w:bottom w:val="nil"/>
              <w:right w:val="nil"/>
            </w:tcBorders>
            <w:vAlign w:val="bottom"/>
          </w:tcPr>
          <w:p w14:paraId="2F6F0894">
            <w:pPr>
              <w:rPr>
                <w:rFonts w:eastAsia="楷体_GB2312"/>
                <w:b/>
              </w:rPr>
            </w:pPr>
            <w:r>
              <w:rPr>
                <w:rFonts w:eastAsia="楷体_GB2312"/>
                <w:b/>
              </w:rPr>
              <w:t>20XX年XX月XX日</w:t>
            </w:r>
          </w:p>
        </w:tc>
      </w:tr>
      <w:tr w14:paraId="0764FF37">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59BD7650">
            <w:pPr>
              <w:jc w:val="right"/>
              <w:rPr>
                <w:rFonts w:eastAsia="楷体_GB2312"/>
                <w:b/>
              </w:rPr>
            </w:pPr>
          </w:p>
        </w:tc>
        <w:tc>
          <w:tcPr>
            <w:tcW w:w="5670" w:type="dxa"/>
            <w:tcBorders>
              <w:top w:val="nil"/>
              <w:left w:val="nil"/>
              <w:bottom w:val="nil"/>
              <w:right w:val="nil"/>
            </w:tcBorders>
            <w:vAlign w:val="bottom"/>
          </w:tcPr>
          <w:p w14:paraId="5470D33F">
            <w:pPr>
              <w:rPr>
                <w:rFonts w:eastAsia="楷体_GB2312"/>
                <w:b/>
              </w:rPr>
            </w:pPr>
          </w:p>
        </w:tc>
      </w:tr>
      <w:tr w14:paraId="1DF5A8BC">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89FA6F7">
            <w:pPr>
              <w:jc w:val="right"/>
              <w:rPr>
                <w:rFonts w:eastAsia="楷体_GB2312"/>
                <w:b/>
              </w:rPr>
            </w:pPr>
          </w:p>
        </w:tc>
        <w:tc>
          <w:tcPr>
            <w:tcW w:w="5670" w:type="dxa"/>
            <w:tcBorders>
              <w:top w:val="nil"/>
              <w:left w:val="nil"/>
              <w:bottom w:val="nil"/>
              <w:right w:val="nil"/>
            </w:tcBorders>
            <w:vAlign w:val="bottom"/>
          </w:tcPr>
          <w:p w14:paraId="2FD51E3C">
            <w:pPr>
              <w:rPr>
                <w:rFonts w:eastAsia="楷体_GB2312"/>
                <w:b/>
              </w:rPr>
            </w:pPr>
          </w:p>
        </w:tc>
      </w:tr>
      <w:tr w14:paraId="414EDF5D">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7456EBF7">
            <w:pPr>
              <w:jc w:val="right"/>
              <w:rPr>
                <w:rFonts w:eastAsia="楷体_GB2312"/>
                <w:b/>
              </w:rPr>
            </w:pPr>
          </w:p>
        </w:tc>
        <w:tc>
          <w:tcPr>
            <w:tcW w:w="5670" w:type="dxa"/>
            <w:tcBorders>
              <w:top w:val="nil"/>
              <w:left w:val="nil"/>
              <w:bottom w:val="nil"/>
              <w:right w:val="nil"/>
            </w:tcBorders>
            <w:vAlign w:val="bottom"/>
          </w:tcPr>
          <w:p w14:paraId="45A7615C">
            <w:pPr>
              <w:rPr>
                <w:rFonts w:eastAsia="楷体_GB2312"/>
                <w:b/>
              </w:rPr>
            </w:pPr>
          </w:p>
        </w:tc>
      </w:tr>
      <w:tr w14:paraId="0F91327B">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09DBBD91">
            <w:pPr>
              <w:jc w:val="right"/>
              <w:rPr>
                <w:rFonts w:eastAsia="楷体_GB2312"/>
                <w:b/>
              </w:rPr>
            </w:pPr>
            <w:r>
              <w:rPr>
                <w:rFonts w:eastAsia="楷体_GB2312"/>
                <w:b/>
              </w:rPr>
              <w:t>受托人地址：</w:t>
            </w:r>
          </w:p>
        </w:tc>
        <w:tc>
          <w:tcPr>
            <w:tcW w:w="5670" w:type="dxa"/>
            <w:tcBorders>
              <w:top w:val="nil"/>
              <w:left w:val="nil"/>
              <w:bottom w:val="nil"/>
              <w:right w:val="nil"/>
            </w:tcBorders>
            <w:vAlign w:val="bottom"/>
          </w:tcPr>
          <w:p w14:paraId="4E0421CA">
            <w:pPr>
              <w:spacing w:line="380" w:lineRule="exact"/>
              <w:rPr>
                <w:rFonts w:eastAsia="楷体_GB2312"/>
              </w:rPr>
            </w:pPr>
          </w:p>
        </w:tc>
      </w:tr>
      <w:tr w14:paraId="44935CEF">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504A41F8">
            <w:pPr>
              <w:jc w:val="right"/>
              <w:rPr>
                <w:rFonts w:eastAsia="楷体_GB2312"/>
                <w:b/>
              </w:rPr>
            </w:pPr>
            <w:r>
              <w:rPr>
                <w:rFonts w:eastAsia="楷体_GB2312"/>
                <w:b/>
              </w:rPr>
              <w:t>电话：</w:t>
            </w:r>
          </w:p>
        </w:tc>
        <w:tc>
          <w:tcPr>
            <w:tcW w:w="5670" w:type="dxa"/>
            <w:tcBorders>
              <w:top w:val="nil"/>
              <w:left w:val="nil"/>
              <w:bottom w:val="nil"/>
              <w:right w:val="nil"/>
            </w:tcBorders>
            <w:vAlign w:val="bottom"/>
          </w:tcPr>
          <w:p w14:paraId="4BD1A427">
            <w:pPr>
              <w:rPr>
                <w:rFonts w:eastAsia="楷体_GB2312"/>
                <w:b/>
              </w:rPr>
            </w:pPr>
          </w:p>
        </w:tc>
      </w:tr>
      <w:tr w14:paraId="789D07AF">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646124D3">
            <w:pPr>
              <w:jc w:val="right"/>
              <w:rPr>
                <w:rFonts w:eastAsia="楷体_GB2312"/>
                <w:b/>
              </w:rPr>
            </w:pPr>
            <w:r>
              <w:rPr>
                <w:rFonts w:eastAsia="楷体_GB2312"/>
                <w:b/>
              </w:rPr>
              <w:t>传真：</w:t>
            </w:r>
          </w:p>
        </w:tc>
        <w:tc>
          <w:tcPr>
            <w:tcW w:w="5670" w:type="dxa"/>
            <w:tcBorders>
              <w:top w:val="nil"/>
              <w:left w:val="nil"/>
              <w:bottom w:val="nil"/>
              <w:right w:val="nil"/>
            </w:tcBorders>
            <w:vAlign w:val="bottom"/>
          </w:tcPr>
          <w:p w14:paraId="7DCE90FC">
            <w:pPr>
              <w:rPr>
                <w:rFonts w:eastAsia="楷体_GB2312"/>
                <w:b/>
              </w:rPr>
            </w:pPr>
          </w:p>
        </w:tc>
      </w:tr>
      <w:tr w14:paraId="797DE15B">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3B3CB365">
            <w:pPr>
              <w:jc w:val="right"/>
              <w:rPr>
                <w:rFonts w:eastAsia="楷体_GB2312"/>
                <w:b/>
              </w:rPr>
            </w:pPr>
            <w:r>
              <w:rPr>
                <w:rFonts w:eastAsia="楷体_GB2312"/>
                <w:b/>
              </w:rPr>
              <w:t>公司网址：</w:t>
            </w:r>
          </w:p>
        </w:tc>
        <w:tc>
          <w:tcPr>
            <w:tcW w:w="5670" w:type="dxa"/>
            <w:tcBorders>
              <w:top w:val="nil"/>
              <w:left w:val="nil"/>
              <w:bottom w:val="nil"/>
              <w:right w:val="nil"/>
            </w:tcBorders>
            <w:vAlign w:val="bottom"/>
          </w:tcPr>
          <w:p w14:paraId="22BAF60C">
            <w:pPr>
              <w:rPr>
                <w:rFonts w:eastAsia="楷体_GB2312"/>
                <w:b/>
              </w:rPr>
            </w:pPr>
          </w:p>
        </w:tc>
      </w:tr>
      <w:tr w14:paraId="05595A42">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6D3B4655">
            <w:pPr>
              <w:jc w:val="right"/>
              <w:rPr>
                <w:rFonts w:eastAsia="楷体_GB2312"/>
                <w:b/>
              </w:rPr>
            </w:pPr>
            <w:r>
              <w:rPr>
                <w:rFonts w:eastAsia="楷体_GB2312"/>
                <w:b/>
              </w:rPr>
              <w:t>电子邮件：</w:t>
            </w:r>
          </w:p>
        </w:tc>
        <w:tc>
          <w:tcPr>
            <w:tcW w:w="5670" w:type="dxa"/>
            <w:tcBorders>
              <w:top w:val="nil"/>
              <w:left w:val="nil"/>
              <w:bottom w:val="nil"/>
              <w:right w:val="nil"/>
            </w:tcBorders>
            <w:vAlign w:val="bottom"/>
          </w:tcPr>
          <w:p w14:paraId="160628D6">
            <w:pPr>
              <w:rPr>
                <w:rFonts w:eastAsia="楷体_GB2312"/>
                <w:b/>
              </w:rPr>
            </w:pPr>
          </w:p>
        </w:tc>
      </w:tr>
    </w:tbl>
    <w:p w14:paraId="4FE85883">
      <w:pPr>
        <w:spacing w:line="360" w:lineRule="auto"/>
        <w:jc w:val="center"/>
        <w:rPr>
          <w:rFonts w:eastAsia="楷体_GB2312"/>
          <w:color w:val="FF00FF"/>
          <w:sz w:val="32"/>
        </w:rPr>
      </w:pPr>
    </w:p>
    <w:p w14:paraId="1F987ED2">
      <w:pPr>
        <w:rPr>
          <w:rFonts w:eastAsia="楷体_GB2312"/>
        </w:rPr>
      </w:pPr>
      <w:r>
        <w:rPr>
          <w:rFonts w:eastAsia="楷体_GB2312"/>
        </w:rPr>
        <w:br w:type="page"/>
      </w:r>
    </w:p>
    <w:tbl>
      <w:tblPr>
        <w:tblStyle w:val="27"/>
        <w:tblW w:w="85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8"/>
        <w:gridCol w:w="6840"/>
        <w:gridCol w:w="900"/>
      </w:tblGrid>
      <w:tr w14:paraId="70A043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68" w:type="dxa"/>
            <w:gridSpan w:val="3"/>
            <w:tcBorders>
              <w:bottom w:val="single" w:color="auto" w:sz="4" w:space="0"/>
            </w:tcBorders>
          </w:tcPr>
          <w:p w14:paraId="384600FA">
            <w:pPr>
              <w:jc w:val="center"/>
              <w:rPr>
                <w:rFonts w:eastAsia="楷体_GB2312"/>
                <w:b/>
              </w:rPr>
            </w:pPr>
            <w:r>
              <w:rPr>
                <w:rFonts w:eastAsia="楷体_GB2312"/>
                <w:b/>
                <w:sz w:val="28"/>
              </w:rPr>
              <w:t>【信托名称】受托机构报告</w:t>
            </w:r>
          </w:p>
        </w:tc>
      </w:tr>
      <w:tr w14:paraId="53F7C5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single" w:color="auto" w:sz="4" w:space="0"/>
              <w:bottom w:val="nil"/>
            </w:tcBorders>
          </w:tcPr>
          <w:p w14:paraId="4F4F0B92">
            <w:pPr>
              <w:rPr>
                <w:rFonts w:eastAsia="楷体_GB2312"/>
              </w:rPr>
            </w:pPr>
          </w:p>
        </w:tc>
        <w:tc>
          <w:tcPr>
            <w:tcW w:w="6840" w:type="dxa"/>
            <w:tcBorders>
              <w:top w:val="single" w:color="auto" w:sz="4" w:space="0"/>
              <w:bottom w:val="nil"/>
            </w:tcBorders>
          </w:tcPr>
          <w:p w14:paraId="267BAD97">
            <w:pPr>
              <w:rPr>
                <w:rFonts w:eastAsia="楷体_GB2312"/>
                <w:color w:val="FFFFFF"/>
              </w:rPr>
            </w:pPr>
            <w:r>
              <w:rPr>
                <w:rFonts w:eastAsia="楷体_GB2312"/>
                <w:sz w:val="18"/>
              </w:rPr>
              <w:t>20XX年X月X日，经委托人【发起机构全称】设立、本公司承诺受托管理的“【‘飞驰建普’系列微小企业贷款资产证券化信托】”依法成立。作为受托人，根据20XX年X月X日【发起机构全称】《【信托名称】贷款服务机构报告》、20XX年X月X日【资金保管机构全称】《资金保管报告》，本公司现向您报告本信托信托财产的管理、运用、处分及收益情况。本公司对本报告全部内容的真实性、准确性、完整性负责。</w:t>
            </w:r>
          </w:p>
        </w:tc>
        <w:tc>
          <w:tcPr>
            <w:tcW w:w="900" w:type="dxa"/>
            <w:tcBorders>
              <w:top w:val="single" w:color="auto" w:sz="4" w:space="0"/>
              <w:bottom w:val="nil"/>
            </w:tcBorders>
          </w:tcPr>
          <w:p w14:paraId="71BF539E">
            <w:pPr>
              <w:rPr>
                <w:rFonts w:eastAsia="楷体_GB2312"/>
              </w:rPr>
            </w:pPr>
          </w:p>
        </w:tc>
      </w:tr>
      <w:tr w14:paraId="7CD536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nil"/>
            </w:tcBorders>
          </w:tcPr>
          <w:p w14:paraId="635F43D0">
            <w:pPr>
              <w:rPr>
                <w:rFonts w:eastAsia="楷体_GB2312"/>
              </w:rPr>
            </w:pPr>
          </w:p>
        </w:tc>
        <w:tc>
          <w:tcPr>
            <w:tcW w:w="6840" w:type="dxa"/>
            <w:tcBorders>
              <w:top w:val="nil"/>
              <w:bottom w:val="nil"/>
            </w:tcBorders>
            <w:shd w:val="clear" w:color="auto" w:fill="C0C0C0"/>
          </w:tcPr>
          <w:p w14:paraId="58B97DBE">
            <w:pPr>
              <w:rPr>
                <w:rFonts w:eastAsia="楷体_GB2312"/>
                <w:b/>
              </w:rPr>
            </w:pPr>
            <w:r>
              <w:rPr>
                <w:rFonts w:eastAsia="楷体_GB2312"/>
                <w:b/>
              </w:rPr>
              <w:t>内容</w:t>
            </w:r>
          </w:p>
        </w:tc>
        <w:tc>
          <w:tcPr>
            <w:tcW w:w="900" w:type="dxa"/>
            <w:tcBorders>
              <w:top w:val="nil"/>
              <w:bottom w:val="nil"/>
            </w:tcBorders>
            <w:shd w:val="clear" w:color="auto" w:fill="C0C0C0"/>
          </w:tcPr>
          <w:p w14:paraId="5F19D38A">
            <w:pPr>
              <w:rPr>
                <w:rFonts w:eastAsia="楷体_GB2312"/>
                <w:b/>
              </w:rPr>
            </w:pPr>
            <w:r>
              <w:rPr>
                <w:rFonts w:eastAsia="楷体_GB2312"/>
                <w:b/>
              </w:rPr>
              <w:t>页码</w:t>
            </w:r>
          </w:p>
        </w:tc>
      </w:tr>
      <w:tr w14:paraId="72AA40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Pr>
          <w:p w14:paraId="1A88EBD8">
            <w:pPr>
              <w:rPr>
                <w:rFonts w:eastAsia="楷体_GB2312"/>
              </w:rPr>
            </w:pPr>
          </w:p>
        </w:tc>
        <w:tc>
          <w:tcPr>
            <w:tcW w:w="6840" w:type="dxa"/>
            <w:tcBorders>
              <w:top w:val="nil"/>
            </w:tcBorders>
          </w:tcPr>
          <w:p w14:paraId="11CC8F12">
            <w:pPr>
              <w:rPr>
                <w:rFonts w:eastAsia="楷体_GB2312"/>
                <w:color w:val="000000"/>
              </w:rPr>
            </w:pPr>
            <w:r>
              <w:rPr>
                <w:rFonts w:eastAsia="楷体_GB2312"/>
                <w:color w:val="000000"/>
              </w:rPr>
              <w:t>一、受托机构和证券化服务机构的名称、地址和联系方式</w:t>
            </w:r>
          </w:p>
          <w:p w14:paraId="6F995198">
            <w:pPr>
              <w:rPr>
                <w:rFonts w:eastAsia="楷体_GB2312"/>
                <w:color w:val="000000"/>
              </w:rPr>
            </w:pPr>
            <w:r>
              <w:rPr>
                <w:rFonts w:eastAsia="楷体_GB2312"/>
                <w:color w:val="000000"/>
              </w:rPr>
              <w:t>二、资产支持证券概况</w:t>
            </w:r>
          </w:p>
          <w:p w14:paraId="67DC2CED">
            <w:pPr>
              <w:rPr>
                <w:rFonts w:eastAsia="楷体_GB2312"/>
                <w:color w:val="000000"/>
              </w:rPr>
            </w:pPr>
            <w:r>
              <w:rPr>
                <w:rFonts w:eastAsia="楷体_GB2312"/>
                <w:color w:val="000000"/>
              </w:rPr>
              <w:t>三、资产池情况</w:t>
            </w:r>
          </w:p>
          <w:p w14:paraId="04B471EB">
            <w:pPr>
              <w:rPr>
                <w:rFonts w:eastAsia="楷体_GB2312"/>
                <w:color w:val="000000"/>
              </w:rPr>
            </w:pPr>
            <w:r>
              <w:rPr>
                <w:rFonts w:eastAsia="楷体_GB2312"/>
                <w:color w:val="000000"/>
              </w:rPr>
              <w:t>四、基础资产存续期总体信息</w:t>
            </w:r>
          </w:p>
          <w:p w14:paraId="1982F47A">
            <w:pPr>
              <w:rPr>
                <w:rFonts w:eastAsia="楷体_GB2312"/>
                <w:color w:val="000000"/>
              </w:rPr>
            </w:pPr>
            <w:r>
              <w:rPr>
                <w:rFonts w:eastAsia="楷体_GB2312"/>
                <w:color w:val="000000"/>
              </w:rPr>
              <w:t>五、基础资产存续期分布信息</w:t>
            </w:r>
          </w:p>
          <w:p w14:paraId="4FE9B753">
            <w:pPr>
              <w:rPr>
                <w:rFonts w:eastAsia="楷体_GB2312"/>
                <w:color w:val="000000"/>
              </w:rPr>
            </w:pPr>
            <w:r>
              <w:rPr>
                <w:rFonts w:eastAsia="楷体_GB2312"/>
                <w:color w:val="000000"/>
              </w:rPr>
              <w:t>六、本期资产支持证券内外部信用增级情况</w:t>
            </w:r>
          </w:p>
          <w:p w14:paraId="542ABE2C">
            <w:pPr>
              <w:rPr>
                <w:rFonts w:eastAsia="楷体_GB2312"/>
                <w:color w:val="000000"/>
              </w:rPr>
            </w:pPr>
            <w:r>
              <w:rPr>
                <w:rFonts w:eastAsia="楷体_GB2312"/>
                <w:color w:val="000000"/>
              </w:rPr>
              <w:t>七、对证券化信托财产和信托事务管理产生重大影响的事项</w:t>
            </w:r>
          </w:p>
          <w:p w14:paraId="06CE81B8">
            <w:pPr>
              <w:rPr>
                <w:rFonts w:eastAsia="楷体_GB2312"/>
                <w:color w:val="000000"/>
              </w:rPr>
            </w:pPr>
            <w:r>
              <w:rPr>
                <w:rFonts w:eastAsia="楷体_GB2312"/>
                <w:color w:val="000000"/>
              </w:rPr>
              <w:t>八、其他重大事项报告</w:t>
            </w:r>
          </w:p>
          <w:p w14:paraId="3B531A41">
            <w:pPr>
              <w:rPr>
                <w:rFonts w:eastAsia="楷体_GB2312"/>
                <w:color w:val="000000"/>
              </w:rPr>
            </w:pPr>
            <w:r>
              <w:rPr>
                <w:rFonts w:eastAsia="楷体_GB2312"/>
                <w:color w:val="000000"/>
              </w:rPr>
              <w:t>九、报告接收情况说明</w:t>
            </w:r>
          </w:p>
          <w:p w14:paraId="7E23021B">
            <w:pPr>
              <w:rPr>
                <w:rFonts w:eastAsia="楷体_GB2312"/>
                <w:color w:val="000000"/>
              </w:rPr>
            </w:pPr>
            <w:r>
              <w:rPr>
                <w:rFonts w:eastAsia="楷体_GB2312"/>
                <w:color w:val="000000"/>
              </w:rPr>
              <w:t>十、差错更正说明</w:t>
            </w:r>
          </w:p>
          <w:p w14:paraId="2014C57D">
            <w:pPr>
              <w:rPr>
                <w:rFonts w:eastAsia="楷体_GB2312"/>
                <w:sz w:val="18"/>
              </w:rPr>
            </w:pPr>
            <w:r>
              <w:rPr>
                <w:rFonts w:eastAsia="楷体_GB2312"/>
                <w:color w:val="000000"/>
              </w:rPr>
              <w:t>十一、备查文件</w:t>
            </w:r>
          </w:p>
        </w:tc>
        <w:tc>
          <w:tcPr>
            <w:tcW w:w="900" w:type="dxa"/>
            <w:tcBorders>
              <w:top w:val="nil"/>
            </w:tcBorders>
          </w:tcPr>
          <w:p w14:paraId="57E913AA">
            <w:pPr>
              <w:rPr>
                <w:rFonts w:eastAsia="楷体_GB2312"/>
              </w:rPr>
            </w:pPr>
          </w:p>
          <w:p w14:paraId="23A456FF">
            <w:pPr>
              <w:rPr>
                <w:rFonts w:eastAsia="楷体_GB2312"/>
              </w:rPr>
            </w:pPr>
          </w:p>
        </w:tc>
      </w:tr>
      <w:tr w14:paraId="53D19E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Pr>
          <w:p w14:paraId="086F4891">
            <w:pPr>
              <w:rPr>
                <w:rFonts w:eastAsia="楷体_GB2312"/>
              </w:rPr>
            </w:pPr>
          </w:p>
        </w:tc>
        <w:tc>
          <w:tcPr>
            <w:tcW w:w="6840" w:type="dxa"/>
          </w:tcPr>
          <w:p w14:paraId="303FA570">
            <w:pPr>
              <w:rPr>
                <w:rFonts w:eastAsia="楷体_GB2312"/>
              </w:rPr>
            </w:pPr>
          </w:p>
        </w:tc>
        <w:tc>
          <w:tcPr>
            <w:tcW w:w="900" w:type="dxa"/>
          </w:tcPr>
          <w:p w14:paraId="14BA8D76">
            <w:pPr>
              <w:rPr>
                <w:rFonts w:eastAsia="楷体_GB2312"/>
              </w:rPr>
            </w:pPr>
          </w:p>
        </w:tc>
      </w:tr>
      <w:tr w14:paraId="5165B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Pr>
          <w:p w14:paraId="2BAE8BBA">
            <w:pPr>
              <w:rPr>
                <w:rFonts w:eastAsia="楷体_GB2312"/>
                <w:sz w:val="18"/>
              </w:rPr>
            </w:pPr>
            <w:r>
              <w:rPr>
                <w:rFonts w:eastAsia="楷体_GB2312"/>
                <w:sz w:val="18"/>
              </w:rPr>
              <w:t>注：</w:t>
            </w:r>
          </w:p>
        </w:tc>
        <w:tc>
          <w:tcPr>
            <w:tcW w:w="6840" w:type="dxa"/>
          </w:tcPr>
          <w:p w14:paraId="623334D0">
            <w:pPr>
              <w:rPr>
                <w:rFonts w:eastAsia="楷体_GB2312"/>
                <w:sz w:val="18"/>
              </w:rPr>
            </w:pPr>
            <w:r>
              <w:rPr>
                <w:rFonts w:eastAsia="楷体_GB2312"/>
                <w:sz w:val="18"/>
              </w:rPr>
              <w:t>1.本报告内容仅在以下</w:t>
            </w:r>
            <w:r>
              <w:rPr>
                <w:rFonts w:hint="eastAsia" w:eastAsia="楷体_GB2312"/>
                <w:sz w:val="18"/>
              </w:rPr>
              <w:t>渠道</w:t>
            </w:r>
            <w:r>
              <w:rPr>
                <w:rFonts w:eastAsia="楷体_GB2312"/>
                <w:sz w:val="18"/>
              </w:rPr>
              <w:t>披露：</w:t>
            </w:r>
            <w:r>
              <w:rPr>
                <w:rFonts w:eastAsia="楷体_GB2312"/>
                <w:color w:val="000000"/>
                <w:sz w:val="18"/>
                <w:szCs w:val="18"/>
              </w:rPr>
              <w:t>交易商协会综合业务和信息服务平台、中国货币网、中国债券信息网、北金所官方网站及交易商协会认可的其他方式</w:t>
            </w:r>
            <w:r>
              <w:rPr>
                <w:rFonts w:eastAsia="楷体_GB2312"/>
                <w:sz w:val="18"/>
              </w:rPr>
              <w:t>。</w:t>
            </w:r>
          </w:p>
          <w:p w14:paraId="617DEC06">
            <w:pPr>
              <w:rPr>
                <w:rFonts w:eastAsia="楷体_GB2312"/>
                <w:sz w:val="18"/>
              </w:rPr>
            </w:pPr>
            <w:r>
              <w:rPr>
                <w:rFonts w:eastAsia="楷体_GB2312"/>
                <w:sz w:val="18"/>
              </w:rPr>
              <w:t>2.本报告内容根据贷款服务机构报告、资金保管报告等报告内容编制。</w:t>
            </w:r>
          </w:p>
          <w:p w14:paraId="36D48190">
            <w:pPr>
              <w:rPr>
                <w:rFonts w:eastAsia="楷体_GB2312"/>
                <w:sz w:val="18"/>
              </w:rPr>
            </w:pPr>
            <w:r>
              <w:rPr>
                <w:rFonts w:eastAsia="楷体_GB2312"/>
                <w:sz w:val="18"/>
              </w:rPr>
              <w:t>3.本报告金额单位均以人民币元计。</w:t>
            </w:r>
          </w:p>
          <w:p w14:paraId="117B53EC">
            <w:pPr>
              <w:rPr>
                <w:rFonts w:eastAsia="楷体_GB2312"/>
              </w:rPr>
            </w:pPr>
            <w:r>
              <w:rPr>
                <w:rFonts w:eastAsia="楷体_GB2312"/>
                <w:sz w:val="18"/>
              </w:rPr>
              <w:t>4.收款期间为:----年--月--日至----年--月--日</w:t>
            </w:r>
          </w:p>
        </w:tc>
        <w:tc>
          <w:tcPr>
            <w:tcW w:w="900" w:type="dxa"/>
          </w:tcPr>
          <w:p w14:paraId="434F39B5">
            <w:pPr>
              <w:rPr>
                <w:rFonts w:eastAsia="楷体_GB2312"/>
              </w:rPr>
            </w:pPr>
          </w:p>
        </w:tc>
      </w:tr>
    </w:tbl>
    <w:p w14:paraId="4751D316">
      <w:pPr>
        <w:rPr>
          <w:rFonts w:eastAsia="楷体_GB2312"/>
        </w:rPr>
      </w:pPr>
    </w:p>
    <w:p w14:paraId="291BC8B6">
      <w:pPr>
        <w:rPr>
          <w:rFonts w:eastAsia="楷体_GB2312"/>
        </w:rPr>
      </w:pPr>
      <w:r>
        <w:rPr>
          <w:rFonts w:eastAsia="楷体_GB2312"/>
        </w:rPr>
        <w:br w:type="page"/>
      </w:r>
    </w:p>
    <w:tbl>
      <w:tblPr>
        <w:tblStyle w:val="27"/>
        <w:tblW w:w="851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3"/>
        <w:gridCol w:w="2542"/>
        <w:gridCol w:w="2567"/>
        <w:gridCol w:w="1704"/>
      </w:tblGrid>
      <w:tr w14:paraId="6DABE1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bottom w:val="single" w:color="auto" w:sz="4" w:space="0"/>
            </w:tcBorders>
          </w:tcPr>
          <w:p w14:paraId="29EFC02A">
            <w:pPr>
              <w:jc w:val="center"/>
              <w:rPr>
                <w:rFonts w:eastAsia="楷体_GB2312"/>
                <w:b/>
                <w:sz w:val="28"/>
              </w:rPr>
            </w:pPr>
            <w:r>
              <w:rPr>
                <w:rFonts w:eastAsia="楷体_GB2312"/>
                <w:b/>
                <w:sz w:val="28"/>
              </w:rPr>
              <w:t>【信托名称】受托机构报告</w:t>
            </w:r>
          </w:p>
        </w:tc>
      </w:tr>
      <w:tr w14:paraId="7001F6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top w:val="single" w:color="auto" w:sz="4" w:space="0"/>
              <w:bottom w:val="nil"/>
            </w:tcBorders>
          </w:tcPr>
          <w:p w14:paraId="75E8689B">
            <w:pPr>
              <w:rPr>
                <w:rFonts w:eastAsia="楷体_GB2312"/>
                <w:b/>
              </w:rPr>
            </w:pPr>
            <w:r>
              <w:rPr>
                <w:rFonts w:eastAsia="楷体_GB2312"/>
                <w:b/>
              </w:rPr>
              <w:t>一、受托人和证券化服务机构的名称、地址和联系方式</w:t>
            </w:r>
          </w:p>
        </w:tc>
      </w:tr>
      <w:tr w14:paraId="3A514D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Borders>
              <w:top w:val="nil"/>
              <w:bottom w:val="nil"/>
            </w:tcBorders>
          </w:tcPr>
          <w:p w14:paraId="1655824A">
            <w:pPr>
              <w:rPr>
                <w:rFonts w:eastAsia="楷体_GB2312"/>
                <w:b/>
              </w:rPr>
            </w:pPr>
          </w:p>
        </w:tc>
        <w:tc>
          <w:tcPr>
            <w:tcW w:w="2542" w:type="dxa"/>
            <w:tcBorders>
              <w:top w:val="nil"/>
              <w:bottom w:val="nil"/>
            </w:tcBorders>
            <w:shd w:val="clear" w:color="auto" w:fill="C0C0C0"/>
          </w:tcPr>
          <w:p w14:paraId="69741A63">
            <w:pPr>
              <w:rPr>
                <w:rFonts w:eastAsia="楷体_GB2312"/>
                <w:b/>
              </w:rPr>
            </w:pPr>
            <w:r>
              <w:rPr>
                <w:rFonts w:eastAsia="楷体_GB2312"/>
                <w:b/>
              </w:rPr>
              <w:t>名称</w:t>
            </w:r>
          </w:p>
        </w:tc>
        <w:tc>
          <w:tcPr>
            <w:tcW w:w="2567" w:type="dxa"/>
            <w:tcBorders>
              <w:top w:val="nil"/>
              <w:bottom w:val="nil"/>
            </w:tcBorders>
            <w:shd w:val="clear" w:color="auto" w:fill="C0C0C0"/>
          </w:tcPr>
          <w:p w14:paraId="26252913">
            <w:pPr>
              <w:rPr>
                <w:rFonts w:eastAsia="楷体_GB2312"/>
                <w:b/>
              </w:rPr>
            </w:pPr>
            <w:r>
              <w:rPr>
                <w:rFonts w:eastAsia="楷体_GB2312"/>
                <w:b/>
              </w:rPr>
              <w:t>地址</w:t>
            </w:r>
          </w:p>
        </w:tc>
        <w:tc>
          <w:tcPr>
            <w:tcW w:w="1704" w:type="dxa"/>
            <w:tcBorders>
              <w:top w:val="nil"/>
              <w:bottom w:val="nil"/>
            </w:tcBorders>
            <w:shd w:val="clear" w:color="auto" w:fill="C0C0C0"/>
          </w:tcPr>
          <w:p w14:paraId="7AA580F6">
            <w:pPr>
              <w:rPr>
                <w:rFonts w:eastAsia="楷体_GB2312"/>
                <w:b/>
              </w:rPr>
            </w:pPr>
            <w:r>
              <w:rPr>
                <w:rFonts w:eastAsia="楷体_GB2312"/>
                <w:b/>
              </w:rPr>
              <w:t>联系电话</w:t>
            </w:r>
          </w:p>
        </w:tc>
      </w:tr>
      <w:tr w14:paraId="3E886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Borders>
              <w:top w:val="nil"/>
            </w:tcBorders>
          </w:tcPr>
          <w:p w14:paraId="5C043871">
            <w:pPr>
              <w:rPr>
                <w:rFonts w:eastAsia="楷体_GB2312"/>
                <w:sz w:val="18"/>
              </w:rPr>
            </w:pPr>
            <w:r>
              <w:rPr>
                <w:rFonts w:eastAsia="楷体_GB2312"/>
                <w:sz w:val="18"/>
              </w:rPr>
              <w:t>受托人</w:t>
            </w:r>
          </w:p>
          <w:p w14:paraId="28F6246A">
            <w:pPr>
              <w:rPr>
                <w:rFonts w:eastAsia="楷体_GB2312"/>
                <w:sz w:val="18"/>
              </w:rPr>
            </w:pPr>
          </w:p>
        </w:tc>
        <w:tc>
          <w:tcPr>
            <w:tcW w:w="2542" w:type="dxa"/>
            <w:tcBorders>
              <w:top w:val="nil"/>
            </w:tcBorders>
          </w:tcPr>
          <w:p w14:paraId="05DFB66D">
            <w:pPr>
              <w:rPr>
                <w:rFonts w:eastAsia="楷体_GB2312"/>
                <w:sz w:val="18"/>
              </w:rPr>
            </w:pPr>
            <w:r>
              <w:rPr>
                <w:rFonts w:eastAsia="楷体_GB2312"/>
                <w:sz w:val="18"/>
              </w:rPr>
              <w:t>【受托机构全称】</w:t>
            </w:r>
          </w:p>
        </w:tc>
        <w:tc>
          <w:tcPr>
            <w:tcW w:w="2567" w:type="dxa"/>
            <w:tcBorders>
              <w:top w:val="nil"/>
            </w:tcBorders>
          </w:tcPr>
          <w:p w14:paraId="726624BF">
            <w:pPr>
              <w:jc w:val="center"/>
              <w:rPr>
                <w:rFonts w:eastAsia="楷体_GB2312"/>
                <w:sz w:val="18"/>
              </w:rPr>
            </w:pPr>
          </w:p>
        </w:tc>
        <w:tc>
          <w:tcPr>
            <w:tcW w:w="1704" w:type="dxa"/>
            <w:tcBorders>
              <w:top w:val="nil"/>
            </w:tcBorders>
          </w:tcPr>
          <w:p w14:paraId="539CB995">
            <w:pPr>
              <w:jc w:val="center"/>
              <w:rPr>
                <w:rFonts w:eastAsia="楷体_GB2312"/>
                <w:sz w:val="18"/>
              </w:rPr>
            </w:pPr>
          </w:p>
        </w:tc>
      </w:tr>
      <w:tr w14:paraId="7BB42B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1321008F">
            <w:pPr>
              <w:rPr>
                <w:rFonts w:eastAsia="楷体_GB2312"/>
                <w:sz w:val="18"/>
              </w:rPr>
            </w:pPr>
            <w:r>
              <w:rPr>
                <w:rFonts w:eastAsia="楷体_GB2312"/>
                <w:sz w:val="18"/>
              </w:rPr>
              <w:t>贷款服务机构</w:t>
            </w:r>
          </w:p>
          <w:p w14:paraId="741F2FA9">
            <w:pPr>
              <w:rPr>
                <w:rFonts w:eastAsia="楷体_GB2312"/>
                <w:sz w:val="18"/>
              </w:rPr>
            </w:pPr>
          </w:p>
        </w:tc>
        <w:tc>
          <w:tcPr>
            <w:tcW w:w="2542" w:type="dxa"/>
          </w:tcPr>
          <w:p w14:paraId="6B744BB2">
            <w:pPr>
              <w:rPr>
                <w:rFonts w:eastAsia="楷体_GB2312"/>
                <w:sz w:val="18"/>
              </w:rPr>
            </w:pPr>
            <w:r>
              <w:rPr>
                <w:rFonts w:eastAsia="楷体_GB2312"/>
                <w:sz w:val="18"/>
              </w:rPr>
              <w:t>【</w:t>
            </w:r>
            <w:r>
              <w:rPr>
                <w:rFonts w:hint="eastAsia" w:eastAsia="楷体_GB2312"/>
                <w:sz w:val="18"/>
              </w:rPr>
              <w:t>贷款服务机构全称</w:t>
            </w:r>
            <w:r>
              <w:rPr>
                <w:rFonts w:eastAsia="楷体_GB2312"/>
                <w:sz w:val="18"/>
              </w:rPr>
              <w:t>】</w:t>
            </w:r>
          </w:p>
        </w:tc>
        <w:tc>
          <w:tcPr>
            <w:tcW w:w="2567" w:type="dxa"/>
          </w:tcPr>
          <w:p w14:paraId="6788DBAE">
            <w:pPr>
              <w:rPr>
                <w:rFonts w:eastAsia="楷体_GB2312"/>
                <w:sz w:val="18"/>
              </w:rPr>
            </w:pPr>
          </w:p>
        </w:tc>
        <w:tc>
          <w:tcPr>
            <w:tcW w:w="1704" w:type="dxa"/>
          </w:tcPr>
          <w:p w14:paraId="08609155">
            <w:pPr>
              <w:rPr>
                <w:rFonts w:eastAsia="楷体_GB2312"/>
                <w:sz w:val="18"/>
              </w:rPr>
            </w:pPr>
          </w:p>
        </w:tc>
      </w:tr>
      <w:tr w14:paraId="37A70B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49FC0507">
            <w:pPr>
              <w:rPr>
                <w:rFonts w:eastAsia="楷体_GB2312"/>
                <w:sz w:val="18"/>
              </w:rPr>
            </w:pPr>
            <w:r>
              <w:rPr>
                <w:rFonts w:eastAsia="楷体_GB2312"/>
                <w:sz w:val="18"/>
              </w:rPr>
              <w:t>资金保管机构</w:t>
            </w:r>
          </w:p>
          <w:p w14:paraId="6459C983">
            <w:pPr>
              <w:rPr>
                <w:rFonts w:eastAsia="楷体_GB2312"/>
                <w:sz w:val="18"/>
              </w:rPr>
            </w:pPr>
          </w:p>
        </w:tc>
        <w:tc>
          <w:tcPr>
            <w:tcW w:w="2542" w:type="dxa"/>
          </w:tcPr>
          <w:p w14:paraId="63949CFA">
            <w:pPr>
              <w:rPr>
                <w:rFonts w:eastAsia="楷体_GB2312"/>
                <w:sz w:val="18"/>
              </w:rPr>
            </w:pPr>
            <w:r>
              <w:rPr>
                <w:rFonts w:eastAsia="楷体_GB2312"/>
                <w:sz w:val="18"/>
              </w:rPr>
              <w:t>【资金保管机构全称】</w:t>
            </w:r>
          </w:p>
        </w:tc>
        <w:tc>
          <w:tcPr>
            <w:tcW w:w="2567" w:type="dxa"/>
          </w:tcPr>
          <w:p w14:paraId="5756FC5C">
            <w:pPr>
              <w:rPr>
                <w:rFonts w:eastAsia="楷体_GB2312"/>
                <w:sz w:val="18"/>
              </w:rPr>
            </w:pPr>
          </w:p>
        </w:tc>
        <w:tc>
          <w:tcPr>
            <w:tcW w:w="1704" w:type="dxa"/>
          </w:tcPr>
          <w:p w14:paraId="3F1C3196">
            <w:pPr>
              <w:rPr>
                <w:rFonts w:eastAsia="楷体_GB2312"/>
                <w:sz w:val="18"/>
              </w:rPr>
            </w:pPr>
          </w:p>
        </w:tc>
      </w:tr>
      <w:tr w14:paraId="2D3BA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1E5DF218">
            <w:pPr>
              <w:rPr>
                <w:rFonts w:eastAsia="楷体_GB2312"/>
                <w:sz w:val="18"/>
              </w:rPr>
            </w:pPr>
            <w:r>
              <w:rPr>
                <w:rFonts w:eastAsia="楷体_GB2312"/>
                <w:sz w:val="18"/>
              </w:rPr>
              <w:t>登记托管机构</w:t>
            </w:r>
          </w:p>
          <w:p w14:paraId="151D3633">
            <w:pPr>
              <w:rPr>
                <w:rFonts w:eastAsia="楷体_GB2312"/>
                <w:sz w:val="18"/>
              </w:rPr>
            </w:pPr>
          </w:p>
        </w:tc>
        <w:tc>
          <w:tcPr>
            <w:tcW w:w="2542" w:type="dxa"/>
          </w:tcPr>
          <w:p w14:paraId="1CB4EDD7">
            <w:pPr>
              <w:rPr>
                <w:rFonts w:eastAsia="楷体_GB2312"/>
                <w:sz w:val="18"/>
              </w:rPr>
            </w:pPr>
          </w:p>
        </w:tc>
        <w:tc>
          <w:tcPr>
            <w:tcW w:w="2567" w:type="dxa"/>
          </w:tcPr>
          <w:p w14:paraId="64150421">
            <w:pPr>
              <w:rPr>
                <w:rFonts w:eastAsia="楷体_GB2312"/>
                <w:sz w:val="18"/>
              </w:rPr>
            </w:pPr>
          </w:p>
        </w:tc>
        <w:tc>
          <w:tcPr>
            <w:tcW w:w="1704" w:type="dxa"/>
          </w:tcPr>
          <w:p w14:paraId="154C5A94">
            <w:pPr>
              <w:rPr>
                <w:rFonts w:eastAsia="楷体_GB2312"/>
                <w:sz w:val="18"/>
              </w:rPr>
            </w:pPr>
          </w:p>
        </w:tc>
      </w:tr>
      <w:tr w14:paraId="71357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652FD94B">
            <w:pPr>
              <w:rPr>
                <w:rFonts w:eastAsia="楷体_GB2312"/>
                <w:sz w:val="18"/>
              </w:rPr>
            </w:pPr>
            <w:r>
              <w:rPr>
                <w:rFonts w:eastAsia="楷体_GB2312"/>
                <w:sz w:val="18"/>
              </w:rPr>
              <w:t>支付代理机构</w:t>
            </w:r>
          </w:p>
        </w:tc>
        <w:tc>
          <w:tcPr>
            <w:tcW w:w="2542" w:type="dxa"/>
          </w:tcPr>
          <w:p w14:paraId="77AFF320">
            <w:pPr>
              <w:rPr>
                <w:rFonts w:eastAsia="楷体_GB2312"/>
                <w:sz w:val="18"/>
              </w:rPr>
            </w:pPr>
          </w:p>
        </w:tc>
        <w:tc>
          <w:tcPr>
            <w:tcW w:w="2567" w:type="dxa"/>
          </w:tcPr>
          <w:p w14:paraId="340F0D82">
            <w:pPr>
              <w:rPr>
                <w:rFonts w:eastAsia="楷体_GB2312"/>
                <w:sz w:val="18"/>
              </w:rPr>
            </w:pPr>
          </w:p>
        </w:tc>
        <w:tc>
          <w:tcPr>
            <w:tcW w:w="1704" w:type="dxa"/>
          </w:tcPr>
          <w:p w14:paraId="408609DF">
            <w:pPr>
              <w:rPr>
                <w:rFonts w:eastAsia="楷体_GB2312"/>
                <w:sz w:val="18"/>
              </w:rPr>
            </w:pPr>
          </w:p>
        </w:tc>
      </w:tr>
    </w:tbl>
    <w:p w14:paraId="2BBFFB59">
      <w:pPr>
        <w:rPr>
          <w:rFonts w:eastAsia="楷体_GB2312"/>
        </w:rPr>
      </w:pPr>
      <w:r>
        <w:rPr>
          <w:rFonts w:eastAsia="楷体_GB2312"/>
        </w:rPr>
        <w:br w:type="page"/>
      </w:r>
    </w:p>
    <w:tbl>
      <w:tblPr>
        <w:tblStyle w:val="27"/>
        <w:tblW w:w="818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405"/>
        <w:gridCol w:w="5783"/>
      </w:tblGrid>
      <w:tr w14:paraId="2CE264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188" w:type="dxa"/>
            <w:gridSpan w:val="2"/>
            <w:tcBorders>
              <w:bottom w:val="single" w:color="auto" w:sz="4" w:space="0"/>
            </w:tcBorders>
          </w:tcPr>
          <w:p w14:paraId="7F1A3EA6">
            <w:pPr>
              <w:jc w:val="center"/>
              <w:rPr>
                <w:rFonts w:eastAsia="楷体_GB2312"/>
                <w:b/>
                <w:sz w:val="28"/>
              </w:rPr>
            </w:pPr>
            <w:r>
              <w:rPr>
                <w:rFonts w:eastAsia="楷体_GB2312"/>
                <w:b/>
                <w:sz w:val="28"/>
              </w:rPr>
              <w:t>【信托名称】受托机构报告</w:t>
            </w:r>
          </w:p>
        </w:tc>
      </w:tr>
      <w:tr w14:paraId="55EF7F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188" w:type="dxa"/>
            <w:gridSpan w:val="2"/>
            <w:tcBorders>
              <w:top w:val="single" w:color="auto" w:sz="4" w:space="0"/>
              <w:bottom w:val="nil"/>
            </w:tcBorders>
          </w:tcPr>
          <w:p w14:paraId="04413DE0">
            <w:pPr>
              <w:rPr>
                <w:rFonts w:eastAsia="楷体_GB2312"/>
                <w:b/>
              </w:rPr>
            </w:pPr>
            <w:r>
              <w:rPr>
                <w:rFonts w:eastAsia="楷体_GB2312"/>
                <w:b/>
              </w:rPr>
              <w:t>二、资产支持证券概况</w:t>
            </w:r>
          </w:p>
        </w:tc>
      </w:tr>
      <w:tr w14:paraId="5B6850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188" w:type="dxa"/>
            <w:gridSpan w:val="2"/>
            <w:tcBorders>
              <w:bottom w:val="single" w:color="auto" w:sz="4" w:space="0"/>
            </w:tcBorders>
          </w:tcPr>
          <w:p w14:paraId="5FF99779">
            <w:pPr>
              <w:ind w:firstLine="400" w:firstLineChars="200"/>
              <w:rPr>
                <w:rFonts w:eastAsia="楷体_GB2312"/>
              </w:rPr>
            </w:pPr>
            <w:r>
              <w:rPr>
                <w:rFonts w:eastAsia="楷体_GB2312"/>
              </w:rPr>
              <w:t>（一）资产支持证券日期概况</w:t>
            </w:r>
          </w:p>
          <w:p w14:paraId="0534F359">
            <w:pPr>
              <w:ind w:firstLine="402" w:firstLineChars="200"/>
              <w:rPr>
                <w:rFonts w:eastAsia="楷体_GB2312"/>
                <w:b/>
              </w:rPr>
            </w:pPr>
          </w:p>
        </w:tc>
      </w:tr>
      <w:tr w14:paraId="5FC44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405" w:type="dxa"/>
            <w:tcBorders>
              <w:top w:val="single" w:color="auto" w:sz="4" w:space="0"/>
              <w:bottom w:val="single" w:color="auto" w:sz="4" w:space="0"/>
              <w:right w:val="single" w:color="auto" w:sz="4" w:space="0"/>
            </w:tcBorders>
            <w:vAlign w:val="center"/>
          </w:tcPr>
          <w:p w14:paraId="4BE56763">
            <w:pPr>
              <w:ind w:firstLine="360" w:firstLineChars="200"/>
              <w:rPr>
                <w:rFonts w:eastAsia="楷体_GB2312"/>
              </w:rPr>
            </w:pPr>
            <w:r>
              <w:rPr>
                <w:rFonts w:eastAsia="楷体_GB2312"/>
                <w:sz w:val="18"/>
                <w:szCs w:val="18"/>
              </w:rPr>
              <w:t>信托生效日</w:t>
            </w:r>
          </w:p>
        </w:tc>
        <w:tc>
          <w:tcPr>
            <w:tcW w:w="5783" w:type="dxa"/>
            <w:tcBorders>
              <w:top w:val="single" w:color="auto" w:sz="4" w:space="0"/>
              <w:left w:val="single" w:color="auto" w:sz="4" w:space="0"/>
              <w:bottom w:val="single" w:color="auto" w:sz="4" w:space="0"/>
            </w:tcBorders>
          </w:tcPr>
          <w:p w14:paraId="3ABC2AD7">
            <w:pPr>
              <w:ind w:firstLine="400" w:firstLineChars="200"/>
              <w:rPr>
                <w:rFonts w:eastAsia="楷体_GB2312"/>
              </w:rPr>
            </w:pPr>
          </w:p>
        </w:tc>
      </w:tr>
      <w:tr w14:paraId="5DE31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6" w:hRule="atLeast"/>
        </w:trPr>
        <w:tc>
          <w:tcPr>
            <w:tcW w:w="2405" w:type="dxa"/>
            <w:tcBorders>
              <w:top w:val="single" w:color="auto" w:sz="4" w:space="0"/>
              <w:bottom w:val="single" w:color="auto" w:sz="4" w:space="0"/>
              <w:right w:val="single" w:color="auto" w:sz="4" w:space="0"/>
            </w:tcBorders>
            <w:vAlign w:val="center"/>
          </w:tcPr>
          <w:p w14:paraId="07DE3339">
            <w:pPr>
              <w:ind w:firstLine="360" w:firstLineChars="200"/>
              <w:rPr>
                <w:rFonts w:eastAsia="楷体_GB2312"/>
                <w:b/>
              </w:rPr>
            </w:pPr>
            <w:r>
              <w:rPr>
                <w:rFonts w:eastAsia="楷体_GB2312"/>
                <w:sz w:val="18"/>
                <w:szCs w:val="18"/>
              </w:rPr>
              <w:t>本期期初日</w:t>
            </w:r>
          </w:p>
        </w:tc>
        <w:tc>
          <w:tcPr>
            <w:tcW w:w="5783" w:type="dxa"/>
            <w:tcBorders>
              <w:top w:val="single" w:color="auto" w:sz="4" w:space="0"/>
              <w:left w:val="single" w:color="auto" w:sz="4" w:space="0"/>
              <w:bottom w:val="single" w:color="auto" w:sz="4" w:space="0"/>
            </w:tcBorders>
          </w:tcPr>
          <w:p w14:paraId="725FBD03">
            <w:pPr>
              <w:ind w:firstLine="402" w:firstLineChars="200"/>
              <w:rPr>
                <w:rFonts w:eastAsia="楷体_GB2312"/>
                <w:b/>
              </w:rPr>
            </w:pPr>
          </w:p>
        </w:tc>
      </w:tr>
      <w:tr w14:paraId="4A04E9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6" w:hRule="atLeast"/>
        </w:trPr>
        <w:tc>
          <w:tcPr>
            <w:tcW w:w="2405" w:type="dxa"/>
            <w:tcBorders>
              <w:top w:val="single" w:color="auto" w:sz="4" w:space="0"/>
              <w:bottom w:val="single" w:color="auto" w:sz="4" w:space="0"/>
              <w:right w:val="single" w:color="auto" w:sz="4" w:space="0"/>
            </w:tcBorders>
            <w:vAlign w:val="center"/>
          </w:tcPr>
          <w:p w14:paraId="6CAFFBC4">
            <w:pPr>
              <w:ind w:firstLine="360" w:firstLineChars="200"/>
              <w:rPr>
                <w:rFonts w:eastAsia="楷体_GB2312"/>
                <w:b/>
              </w:rPr>
            </w:pPr>
            <w:r>
              <w:rPr>
                <w:rFonts w:eastAsia="楷体_GB2312"/>
                <w:sz w:val="18"/>
                <w:szCs w:val="18"/>
              </w:rPr>
              <w:t>本期期末日</w:t>
            </w:r>
          </w:p>
        </w:tc>
        <w:tc>
          <w:tcPr>
            <w:tcW w:w="5783" w:type="dxa"/>
            <w:tcBorders>
              <w:top w:val="single" w:color="auto" w:sz="4" w:space="0"/>
              <w:left w:val="single" w:color="auto" w:sz="4" w:space="0"/>
              <w:bottom w:val="single" w:color="auto" w:sz="4" w:space="0"/>
            </w:tcBorders>
          </w:tcPr>
          <w:p w14:paraId="365A874A">
            <w:pPr>
              <w:ind w:firstLine="402" w:firstLineChars="200"/>
              <w:rPr>
                <w:rFonts w:eastAsia="楷体_GB2312"/>
                <w:b/>
              </w:rPr>
            </w:pPr>
          </w:p>
        </w:tc>
      </w:tr>
      <w:tr w14:paraId="3ADE7D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1" w:hRule="atLeast"/>
        </w:trPr>
        <w:tc>
          <w:tcPr>
            <w:tcW w:w="2405" w:type="dxa"/>
            <w:tcBorders>
              <w:top w:val="single" w:color="auto" w:sz="4" w:space="0"/>
              <w:bottom w:val="single" w:color="auto" w:sz="4" w:space="0"/>
              <w:right w:val="single" w:color="auto" w:sz="4" w:space="0"/>
            </w:tcBorders>
            <w:vAlign w:val="center"/>
          </w:tcPr>
          <w:p w14:paraId="3987D8EB">
            <w:pPr>
              <w:ind w:firstLine="360" w:firstLineChars="200"/>
              <w:rPr>
                <w:rFonts w:eastAsia="楷体_GB2312"/>
                <w:b/>
              </w:rPr>
            </w:pPr>
            <w:r>
              <w:rPr>
                <w:rFonts w:eastAsia="楷体_GB2312"/>
                <w:sz w:val="18"/>
                <w:szCs w:val="18"/>
              </w:rPr>
              <w:t>计息方式</w:t>
            </w:r>
          </w:p>
        </w:tc>
        <w:tc>
          <w:tcPr>
            <w:tcW w:w="5783" w:type="dxa"/>
            <w:tcBorders>
              <w:top w:val="single" w:color="auto" w:sz="4" w:space="0"/>
              <w:left w:val="single" w:color="auto" w:sz="4" w:space="0"/>
              <w:bottom w:val="single" w:color="auto" w:sz="4" w:space="0"/>
            </w:tcBorders>
          </w:tcPr>
          <w:p w14:paraId="2B99805F">
            <w:pPr>
              <w:ind w:firstLine="402" w:firstLineChars="200"/>
              <w:rPr>
                <w:rFonts w:eastAsia="楷体_GB2312"/>
                <w:b/>
              </w:rPr>
            </w:pPr>
          </w:p>
        </w:tc>
      </w:tr>
    </w:tbl>
    <w:p w14:paraId="0483572E">
      <w:pPr>
        <w:rPr>
          <w:rFonts w:eastAsia="楷体_GB2312"/>
        </w:rPr>
      </w:pPr>
    </w:p>
    <w:p w14:paraId="3DB421BB">
      <w:pPr>
        <w:rPr>
          <w:rFonts w:eastAsia="楷体_GB2312"/>
        </w:rPr>
      </w:pPr>
      <w:r>
        <w:rPr>
          <w:rFonts w:eastAsia="楷体_GB2312"/>
        </w:rPr>
        <w:br w:type="page"/>
      </w:r>
    </w:p>
    <w:tbl>
      <w:tblPr>
        <w:tblStyle w:val="27"/>
        <w:tblW w:w="835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8"/>
        <w:gridCol w:w="1559"/>
        <w:gridCol w:w="1559"/>
        <w:gridCol w:w="1559"/>
        <w:gridCol w:w="1560"/>
        <w:gridCol w:w="1134"/>
      </w:tblGrid>
      <w:tr w14:paraId="14D4CD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8359" w:type="dxa"/>
            <w:gridSpan w:val="6"/>
            <w:tcBorders>
              <w:bottom w:val="single" w:color="auto" w:sz="4" w:space="0"/>
            </w:tcBorders>
          </w:tcPr>
          <w:p w14:paraId="427EC83E">
            <w:pPr>
              <w:widowControl/>
              <w:spacing w:line="360" w:lineRule="auto"/>
              <w:jc w:val="center"/>
              <w:rPr>
                <w:rFonts w:eastAsia="楷体_GB2312"/>
                <w:b/>
                <w:sz w:val="28"/>
              </w:rPr>
            </w:pPr>
            <w:r>
              <w:rPr>
                <w:rFonts w:eastAsia="楷体_GB2312"/>
                <w:b/>
                <w:sz w:val="28"/>
              </w:rPr>
              <w:t>【信托名称】受托机构报告</w:t>
            </w:r>
          </w:p>
        </w:tc>
      </w:tr>
      <w:tr w14:paraId="6853B3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3" w:hRule="atLeast"/>
        </w:trPr>
        <w:tc>
          <w:tcPr>
            <w:tcW w:w="8359" w:type="dxa"/>
            <w:gridSpan w:val="6"/>
            <w:tcBorders>
              <w:top w:val="single" w:color="auto" w:sz="4" w:space="0"/>
              <w:bottom w:val="nil"/>
            </w:tcBorders>
          </w:tcPr>
          <w:p w14:paraId="42CABC4B">
            <w:pPr>
              <w:widowControl/>
              <w:spacing w:line="360" w:lineRule="auto"/>
              <w:jc w:val="left"/>
              <w:rPr>
                <w:rFonts w:eastAsia="楷体_GB2312"/>
                <w:b/>
                <w:szCs w:val="21"/>
              </w:rPr>
            </w:pPr>
            <w:r>
              <w:rPr>
                <w:rFonts w:eastAsia="楷体_GB2312"/>
                <w:b/>
                <w:szCs w:val="21"/>
              </w:rPr>
              <w:t>二、资产支持证券概况（续）</w:t>
            </w:r>
          </w:p>
          <w:p w14:paraId="76A663E8">
            <w:pPr>
              <w:widowControl/>
              <w:spacing w:line="360" w:lineRule="auto"/>
              <w:rPr>
                <w:rFonts w:eastAsia="楷体_GB2312"/>
                <w:bCs/>
                <w:szCs w:val="21"/>
              </w:rPr>
            </w:pPr>
            <w:r>
              <w:rPr>
                <w:rFonts w:eastAsia="楷体_GB2312"/>
                <w:bCs/>
                <w:szCs w:val="21"/>
              </w:rPr>
              <w:t>（二）各档资产支持证券的本金、利息兑付情况</w:t>
            </w:r>
          </w:p>
        </w:tc>
      </w:tr>
      <w:tr w14:paraId="175455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988" w:type="dxa"/>
            <w:tcBorders>
              <w:top w:val="single" w:color="auto" w:sz="4" w:space="0"/>
              <w:bottom w:val="single" w:color="auto" w:sz="4" w:space="0"/>
              <w:right w:val="single" w:color="auto" w:sz="4" w:space="0"/>
            </w:tcBorders>
          </w:tcPr>
          <w:p w14:paraId="6E102404">
            <w:pPr>
              <w:widowControl/>
              <w:spacing w:line="360" w:lineRule="auto"/>
              <w:jc w:val="left"/>
              <w:rPr>
                <w:rFonts w:eastAsia="楷体_GB2312"/>
                <w:b/>
                <w:sz w:val="18"/>
                <w:lang w:eastAsia="zh-TW"/>
              </w:rPr>
            </w:pPr>
            <w:r>
              <w:rPr>
                <w:rFonts w:eastAsia="楷体_GB2312"/>
                <w:b/>
                <w:sz w:val="18"/>
                <w:lang w:eastAsia="zh-TW"/>
              </w:rPr>
              <w:t>证券分层</w:t>
            </w:r>
          </w:p>
        </w:tc>
        <w:tc>
          <w:tcPr>
            <w:tcW w:w="1559" w:type="dxa"/>
            <w:tcBorders>
              <w:top w:val="single" w:color="auto" w:sz="4" w:space="0"/>
              <w:left w:val="single" w:color="auto" w:sz="4" w:space="0"/>
              <w:bottom w:val="single" w:color="auto" w:sz="4" w:space="0"/>
              <w:right w:val="single" w:color="auto" w:sz="4" w:space="0"/>
            </w:tcBorders>
          </w:tcPr>
          <w:p w14:paraId="7C42AD21">
            <w:pPr>
              <w:keepNext/>
              <w:keepLines/>
              <w:widowControl/>
              <w:spacing w:line="360" w:lineRule="auto"/>
              <w:ind w:right="-238" w:rightChars="-119"/>
              <w:jc w:val="left"/>
              <w:rPr>
                <w:rFonts w:eastAsia="楷体_GB2312"/>
                <w:b/>
                <w:lang w:eastAsia="zh-TW"/>
              </w:rPr>
            </w:pPr>
            <w:r>
              <w:rPr>
                <w:rFonts w:eastAsia="楷体_GB2312"/>
                <w:b/>
                <w:lang w:eastAsia="zh-TW"/>
              </w:rPr>
              <w:t>信托生效日余额</w:t>
            </w:r>
          </w:p>
        </w:tc>
        <w:tc>
          <w:tcPr>
            <w:tcW w:w="1559" w:type="dxa"/>
            <w:tcBorders>
              <w:top w:val="single" w:color="auto" w:sz="4" w:space="0"/>
              <w:left w:val="single" w:color="auto" w:sz="4" w:space="0"/>
              <w:bottom w:val="single" w:color="auto" w:sz="4" w:space="0"/>
              <w:right w:val="single" w:color="auto" w:sz="4" w:space="0"/>
            </w:tcBorders>
          </w:tcPr>
          <w:p w14:paraId="24F8B89C">
            <w:pPr>
              <w:keepNext/>
              <w:keepLines/>
              <w:widowControl/>
              <w:spacing w:line="360" w:lineRule="auto"/>
              <w:jc w:val="center"/>
              <w:rPr>
                <w:rFonts w:eastAsia="楷体_GB2312"/>
                <w:b/>
                <w:lang w:eastAsia="zh-TW"/>
              </w:rPr>
            </w:pPr>
            <w:r>
              <w:rPr>
                <w:rFonts w:eastAsia="楷体_GB2312"/>
                <w:b/>
                <w:lang w:eastAsia="zh-TW"/>
              </w:rPr>
              <w:t>本期期初余额</w:t>
            </w:r>
          </w:p>
        </w:tc>
        <w:tc>
          <w:tcPr>
            <w:tcW w:w="1559" w:type="dxa"/>
            <w:tcBorders>
              <w:top w:val="single" w:color="auto" w:sz="4" w:space="0"/>
              <w:left w:val="single" w:color="auto" w:sz="4" w:space="0"/>
              <w:bottom w:val="single" w:color="auto" w:sz="4" w:space="0"/>
              <w:right w:val="single" w:color="auto" w:sz="4" w:space="0"/>
            </w:tcBorders>
          </w:tcPr>
          <w:p w14:paraId="74CF089E">
            <w:pPr>
              <w:keepNext/>
              <w:keepLines/>
              <w:widowControl/>
              <w:spacing w:line="360" w:lineRule="auto"/>
              <w:jc w:val="center"/>
              <w:rPr>
                <w:rFonts w:eastAsia="楷体_GB2312"/>
                <w:b/>
                <w:lang w:eastAsia="zh-TW"/>
              </w:rPr>
            </w:pPr>
            <w:r>
              <w:rPr>
                <w:rFonts w:eastAsia="楷体_GB2312"/>
                <w:b/>
                <w:lang w:eastAsia="zh-TW"/>
              </w:rPr>
              <w:t>本期本金还款</w:t>
            </w:r>
          </w:p>
        </w:tc>
        <w:tc>
          <w:tcPr>
            <w:tcW w:w="1560" w:type="dxa"/>
            <w:tcBorders>
              <w:top w:val="single" w:color="auto" w:sz="4" w:space="0"/>
              <w:left w:val="single" w:color="auto" w:sz="4" w:space="0"/>
              <w:bottom w:val="single" w:color="auto" w:sz="4" w:space="0"/>
              <w:right w:val="single" w:color="auto" w:sz="4" w:space="0"/>
            </w:tcBorders>
          </w:tcPr>
          <w:p w14:paraId="458A8E55">
            <w:pPr>
              <w:keepNext/>
              <w:keepLines/>
              <w:widowControl/>
              <w:spacing w:line="360" w:lineRule="auto"/>
              <w:jc w:val="center"/>
              <w:rPr>
                <w:rFonts w:eastAsia="楷体_GB2312"/>
                <w:b/>
                <w:lang w:eastAsia="zh-TW"/>
              </w:rPr>
            </w:pPr>
            <w:r>
              <w:rPr>
                <w:rFonts w:eastAsia="楷体_GB2312"/>
                <w:b/>
                <w:lang w:eastAsia="zh-TW"/>
              </w:rPr>
              <w:t>本期期末余额</w:t>
            </w:r>
          </w:p>
        </w:tc>
        <w:tc>
          <w:tcPr>
            <w:tcW w:w="1134" w:type="dxa"/>
            <w:tcBorders>
              <w:top w:val="single" w:color="auto" w:sz="4" w:space="0"/>
              <w:left w:val="single" w:color="auto" w:sz="4" w:space="0"/>
              <w:bottom w:val="single" w:color="auto" w:sz="4" w:space="0"/>
            </w:tcBorders>
          </w:tcPr>
          <w:p w14:paraId="6F83334F">
            <w:pPr>
              <w:keepNext/>
              <w:keepLines/>
              <w:widowControl/>
              <w:spacing w:line="360" w:lineRule="auto"/>
              <w:jc w:val="center"/>
              <w:rPr>
                <w:rFonts w:eastAsia="楷体_GB2312"/>
                <w:b/>
                <w:lang w:eastAsia="zh-TW"/>
              </w:rPr>
            </w:pPr>
            <w:r>
              <w:rPr>
                <w:rFonts w:eastAsia="楷体_GB2312"/>
                <w:b/>
                <w:lang w:eastAsia="zh-TW"/>
              </w:rPr>
              <w:t>兑付比例</w:t>
            </w:r>
          </w:p>
        </w:tc>
      </w:tr>
      <w:tr w14:paraId="675882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988" w:type="dxa"/>
            <w:tcBorders>
              <w:top w:val="single" w:color="auto" w:sz="4" w:space="0"/>
              <w:bottom w:val="single" w:color="auto" w:sz="4" w:space="0"/>
              <w:right w:val="single" w:color="auto" w:sz="4" w:space="0"/>
            </w:tcBorders>
          </w:tcPr>
          <w:p w14:paraId="1952E7E0">
            <w:pPr>
              <w:widowControl/>
              <w:spacing w:line="360" w:lineRule="auto"/>
              <w:jc w:val="left"/>
              <w:rPr>
                <w:rFonts w:eastAsia="楷体_GB2312"/>
                <w:sz w:val="18"/>
                <w:szCs w:val="18"/>
              </w:rPr>
            </w:pPr>
            <w:r>
              <w:rPr>
                <w:rFonts w:eastAsia="楷体_GB2312"/>
                <w:sz w:val="18"/>
                <w:szCs w:val="18"/>
                <w:lang w:eastAsia="zh-TW"/>
              </w:rPr>
              <w:t>优先</w:t>
            </w:r>
            <w:r>
              <w:rPr>
                <w:rFonts w:eastAsia="楷体_GB2312"/>
                <w:sz w:val="18"/>
                <w:szCs w:val="18"/>
              </w:rPr>
              <w:t>A</w:t>
            </w:r>
            <w:r>
              <w:rPr>
                <w:rFonts w:eastAsia="楷体_GB2312"/>
                <w:sz w:val="18"/>
                <w:szCs w:val="18"/>
                <w:lang w:eastAsia="zh-TW"/>
              </w:rPr>
              <w:t>档</w:t>
            </w:r>
          </w:p>
        </w:tc>
        <w:tc>
          <w:tcPr>
            <w:tcW w:w="1559" w:type="dxa"/>
            <w:tcBorders>
              <w:top w:val="single" w:color="auto" w:sz="4" w:space="0"/>
              <w:left w:val="single" w:color="auto" w:sz="4" w:space="0"/>
              <w:bottom w:val="single" w:color="auto" w:sz="4" w:space="0"/>
              <w:right w:val="single" w:color="auto" w:sz="4" w:space="0"/>
            </w:tcBorders>
          </w:tcPr>
          <w:p w14:paraId="1C962CC8">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4840B52B">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75731B85">
            <w:pPr>
              <w:widowControl/>
              <w:spacing w:line="360" w:lineRule="auto"/>
              <w:jc w:val="center"/>
              <w:rPr>
                <w:rFonts w:eastAsia="楷体_GB2312"/>
                <w:b/>
                <w:sz w:val="18"/>
                <w:szCs w:val="18"/>
                <w:lang w:eastAsia="zh-TW"/>
              </w:rPr>
            </w:pPr>
          </w:p>
        </w:tc>
        <w:tc>
          <w:tcPr>
            <w:tcW w:w="1560" w:type="dxa"/>
            <w:tcBorders>
              <w:top w:val="single" w:color="auto" w:sz="4" w:space="0"/>
              <w:left w:val="single" w:color="auto" w:sz="4" w:space="0"/>
              <w:bottom w:val="single" w:color="auto" w:sz="4" w:space="0"/>
              <w:right w:val="single" w:color="auto" w:sz="4" w:space="0"/>
            </w:tcBorders>
          </w:tcPr>
          <w:p w14:paraId="5BF3A28B">
            <w:pPr>
              <w:widowControl/>
              <w:spacing w:line="360" w:lineRule="auto"/>
              <w:jc w:val="center"/>
              <w:rPr>
                <w:rFonts w:eastAsia="楷体_GB2312"/>
                <w:b/>
                <w:sz w:val="18"/>
                <w:szCs w:val="18"/>
                <w:lang w:eastAsia="zh-TW"/>
              </w:rPr>
            </w:pPr>
          </w:p>
        </w:tc>
        <w:tc>
          <w:tcPr>
            <w:tcW w:w="1134" w:type="dxa"/>
            <w:tcBorders>
              <w:top w:val="single" w:color="auto" w:sz="4" w:space="0"/>
              <w:left w:val="single" w:color="auto" w:sz="4" w:space="0"/>
              <w:bottom w:val="single" w:color="auto" w:sz="4" w:space="0"/>
            </w:tcBorders>
          </w:tcPr>
          <w:p w14:paraId="2CAF979F">
            <w:pPr>
              <w:widowControl/>
              <w:spacing w:line="360" w:lineRule="auto"/>
              <w:jc w:val="center"/>
              <w:rPr>
                <w:rFonts w:eastAsia="楷体_GB2312"/>
                <w:b/>
                <w:sz w:val="18"/>
                <w:szCs w:val="18"/>
                <w:lang w:eastAsia="zh-TW"/>
              </w:rPr>
            </w:pPr>
          </w:p>
        </w:tc>
      </w:tr>
      <w:tr w14:paraId="5D6531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988" w:type="dxa"/>
            <w:tcBorders>
              <w:top w:val="single" w:color="auto" w:sz="4" w:space="0"/>
              <w:bottom w:val="single" w:color="auto" w:sz="4" w:space="0"/>
              <w:right w:val="single" w:color="auto" w:sz="4" w:space="0"/>
            </w:tcBorders>
          </w:tcPr>
          <w:p w14:paraId="49947818">
            <w:pPr>
              <w:widowControl/>
              <w:spacing w:line="360" w:lineRule="auto"/>
              <w:jc w:val="left"/>
              <w:rPr>
                <w:rFonts w:eastAsia="楷体_GB2312"/>
                <w:sz w:val="18"/>
                <w:szCs w:val="18"/>
                <w:lang w:eastAsia="zh-TW"/>
              </w:rPr>
            </w:pPr>
            <w:r>
              <w:rPr>
                <w:rFonts w:eastAsia="楷体_GB2312"/>
                <w:sz w:val="18"/>
                <w:szCs w:val="18"/>
                <w:lang w:eastAsia="zh-TW"/>
              </w:rPr>
              <w:t>优先</w:t>
            </w:r>
            <w:r>
              <w:rPr>
                <w:rFonts w:eastAsia="楷体_GB2312"/>
                <w:sz w:val="18"/>
                <w:szCs w:val="18"/>
              </w:rPr>
              <w:t>B</w:t>
            </w:r>
            <w:r>
              <w:rPr>
                <w:rFonts w:eastAsia="楷体_GB2312"/>
                <w:sz w:val="18"/>
                <w:szCs w:val="18"/>
                <w:lang w:eastAsia="zh-TW"/>
              </w:rPr>
              <w:t>档</w:t>
            </w:r>
          </w:p>
        </w:tc>
        <w:tc>
          <w:tcPr>
            <w:tcW w:w="1559" w:type="dxa"/>
            <w:tcBorders>
              <w:top w:val="single" w:color="auto" w:sz="4" w:space="0"/>
              <w:left w:val="single" w:color="auto" w:sz="4" w:space="0"/>
              <w:bottom w:val="single" w:color="auto" w:sz="4" w:space="0"/>
              <w:right w:val="single" w:color="auto" w:sz="4" w:space="0"/>
            </w:tcBorders>
          </w:tcPr>
          <w:p w14:paraId="5FCFFEA4">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4968D62F">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55EDA589">
            <w:pPr>
              <w:widowControl/>
              <w:spacing w:line="360" w:lineRule="auto"/>
              <w:jc w:val="center"/>
              <w:rPr>
                <w:rFonts w:eastAsia="楷体_GB2312"/>
                <w:b/>
                <w:sz w:val="18"/>
                <w:szCs w:val="18"/>
                <w:lang w:eastAsia="zh-TW"/>
              </w:rPr>
            </w:pPr>
          </w:p>
        </w:tc>
        <w:tc>
          <w:tcPr>
            <w:tcW w:w="1560" w:type="dxa"/>
            <w:tcBorders>
              <w:top w:val="single" w:color="auto" w:sz="4" w:space="0"/>
              <w:left w:val="single" w:color="auto" w:sz="4" w:space="0"/>
              <w:bottom w:val="single" w:color="auto" w:sz="4" w:space="0"/>
              <w:right w:val="single" w:color="auto" w:sz="4" w:space="0"/>
            </w:tcBorders>
          </w:tcPr>
          <w:p w14:paraId="18F45828">
            <w:pPr>
              <w:widowControl/>
              <w:spacing w:line="360" w:lineRule="auto"/>
              <w:jc w:val="center"/>
              <w:rPr>
                <w:rFonts w:eastAsia="楷体_GB2312"/>
                <w:b/>
                <w:sz w:val="18"/>
                <w:szCs w:val="18"/>
                <w:lang w:eastAsia="zh-TW"/>
              </w:rPr>
            </w:pPr>
          </w:p>
        </w:tc>
        <w:tc>
          <w:tcPr>
            <w:tcW w:w="1134" w:type="dxa"/>
            <w:tcBorders>
              <w:top w:val="single" w:color="auto" w:sz="4" w:space="0"/>
              <w:left w:val="single" w:color="auto" w:sz="4" w:space="0"/>
              <w:bottom w:val="single" w:color="auto" w:sz="4" w:space="0"/>
            </w:tcBorders>
          </w:tcPr>
          <w:p w14:paraId="70E6B2C5">
            <w:pPr>
              <w:widowControl/>
              <w:spacing w:line="360" w:lineRule="auto"/>
              <w:jc w:val="center"/>
              <w:rPr>
                <w:rFonts w:eastAsia="楷体_GB2312"/>
                <w:b/>
                <w:sz w:val="18"/>
                <w:szCs w:val="18"/>
                <w:lang w:eastAsia="zh-TW"/>
              </w:rPr>
            </w:pPr>
          </w:p>
        </w:tc>
      </w:tr>
      <w:tr w14:paraId="0B8ACE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8" w:type="dxa"/>
            <w:tcBorders>
              <w:top w:val="single" w:color="auto" w:sz="4" w:space="0"/>
              <w:bottom w:val="single" w:color="auto" w:sz="4" w:space="0"/>
              <w:right w:val="single" w:color="auto" w:sz="4" w:space="0"/>
            </w:tcBorders>
          </w:tcPr>
          <w:p w14:paraId="0E1FE7BB">
            <w:pPr>
              <w:widowControl/>
              <w:spacing w:line="360" w:lineRule="auto"/>
              <w:jc w:val="left"/>
              <w:rPr>
                <w:rFonts w:eastAsia="楷体_GB2312"/>
                <w:b/>
                <w:sz w:val="18"/>
                <w:szCs w:val="18"/>
              </w:rPr>
            </w:pPr>
            <w:r>
              <w:rPr>
                <w:rFonts w:eastAsia="楷体_GB2312"/>
                <w:sz w:val="18"/>
              </w:rPr>
              <w:t>次级</w:t>
            </w:r>
          </w:p>
        </w:tc>
        <w:tc>
          <w:tcPr>
            <w:tcW w:w="1559" w:type="dxa"/>
            <w:tcBorders>
              <w:top w:val="single" w:color="auto" w:sz="4" w:space="0"/>
              <w:left w:val="single" w:color="auto" w:sz="4" w:space="0"/>
              <w:bottom w:val="single" w:color="auto" w:sz="4" w:space="0"/>
              <w:right w:val="single" w:color="auto" w:sz="4" w:space="0"/>
            </w:tcBorders>
          </w:tcPr>
          <w:p w14:paraId="7909A53B">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0214C066">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7125B52F">
            <w:pPr>
              <w:widowControl/>
              <w:spacing w:line="360" w:lineRule="auto"/>
              <w:jc w:val="center"/>
              <w:rPr>
                <w:rFonts w:eastAsia="楷体_GB2312"/>
                <w:b/>
                <w:sz w:val="18"/>
                <w:szCs w:val="18"/>
                <w:lang w:eastAsia="zh-TW"/>
              </w:rPr>
            </w:pPr>
          </w:p>
        </w:tc>
        <w:tc>
          <w:tcPr>
            <w:tcW w:w="1560" w:type="dxa"/>
            <w:tcBorders>
              <w:top w:val="single" w:color="auto" w:sz="4" w:space="0"/>
              <w:left w:val="single" w:color="auto" w:sz="4" w:space="0"/>
              <w:bottom w:val="single" w:color="auto" w:sz="4" w:space="0"/>
              <w:right w:val="single" w:color="auto" w:sz="4" w:space="0"/>
            </w:tcBorders>
          </w:tcPr>
          <w:p w14:paraId="4EA4CBC1">
            <w:pPr>
              <w:widowControl/>
              <w:spacing w:line="360" w:lineRule="auto"/>
              <w:jc w:val="center"/>
              <w:rPr>
                <w:rFonts w:eastAsia="楷体_GB2312"/>
                <w:b/>
                <w:sz w:val="18"/>
                <w:szCs w:val="18"/>
                <w:lang w:eastAsia="zh-TW"/>
              </w:rPr>
            </w:pPr>
          </w:p>
        </w:tc>
        <w:tc>
          <w:tcPr>
            <w:tcW w:w="1134" w:type="dxa"/>
            <w:tcBorders>
              <w:top w:val="single" w:color="auto" w:sz="4" w:space="0"/>
              <w:left w:val="single" w:color="auto" w:sz="4" w:space="0"/>
              <w:bottom w:val="single" w:color="auto" w:sz="4" w:space="0"/>
            </w:tcBorders>
          </w:tcPr>
          <w:p w14:paraId="23298973">
            <w:pPr>
              <w:widowControl/>
              <w:spacing w:line="360" w:lineRule="auto"/>
              <w:jc w:val="center"/>
              <w:rPr>
                <w:rFonts w:eastAsia="楷体_GB2312"/>
                <w:b/>
                <w:sz w:val="18"/>
                <w:szCs w:val="18"/>
                <w:lang w:eastAsia="zh-TW"/>
              </w:rPr>
            </w:pPr>
          </w:p>
        </w:tc>
      </w:tr>
    </w:tbl>
    <w:p w14:paraId="6722E5E4">
      <w:pPr>
        <w:rPr>
          <w:rFonts w:eastAsia="楷体_GB2312"/>
        </w:rPr>
      </w:pPr>
    </w:p>
    <w:p w14:paraId="40DA4088">
      <w:pPr>
        <w:rPr>
          <w:rFonts w:eastAsia="楷体_GB2312"/>
        </w:rPr>
      </w:pPr>
    </w:p>
    <w:p w14:paraId="0FEA800B">
      <w:pPr>
        <w:widowControl/>
        <w:jc w:val="left"/>
        <w:rPr>
          <w:rFonts w:eastAsia="楷体_GB2312"/>
        </w:rPr>
      </w:pPr>
      <w:r>
        <w:rPr>
          <w:rFonts w:eastAsia="楷体_GB2312"/>
        </w:rPr>
        <w:br w:type="page"/>
      </w:r>
    </w:p>
    <w:tbl>
      <w:tblPr>
        <w:tblStyle w:val="27"/>
        <w:tblW w:w="835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0"/>
        <w:gridCol w:w="905"/>
        <w:gridCol w:w="1215"/>
        <w:gridCol w:w="1061"/>
        <w:gridCol w:w="1274"/>
        <w:gridCol w:w="991"/>
        <w:gridCol w:w="1983"/>
      </w:tblGrid>
      <w:tr w14:paraId="32884D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8359" w:type="dxa"/>
            <w:gridSpan w:val="7"/>
            <w:tcBorders>
              <w:bottom w:val="single" w:color="auto" w:sz="4" w:space="0"/>
            </w:tcBorders>
          </w:tcPr>
          <w:p w14:paraId="323EE948">
            <w:pPr>
              <w:widowControl/>
              <w:spacing w:line="360" w:lineRule="auto"/>
              <w:jc w:val="center"/>
              <w:rPr>
                <w:rFonts w:eastAsia="楷体_GB2312"/>
                <w:b/>
                <w:sz w:val="28"/>
              </w:rPr>
            </w:pPr>
            <w:r>
              <w:rPr>
                <w:rFonts w:eastAsia="楷体_GB2312"/>
                <w:b/>
                <w:sz w:val="28"/>
              </w:rPr>
              <w:t>【信托名称】受托机构报告</w:t>
            </w:r>
          </w:p>
        </w:tc>
      </w:tr>
      <w:tr w14:paraId="29550C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359" w:type="dxa"/>
            <w:gridSpan w:val="7"/>
            <w:tcBorders>
              <w:top w:val="single" w:color="auto" w:sz="4" w:space="0"/>
              <w:bottom w:val="nil"/>
            </w:tcBorders>
          </w:tcPr>
          <w:p w14:paraId="320BE8CF">
            <w:pPr>
              <w:widowControl/>
              <w:spacing w:line="360" w:lineRule="auto"/>
              <w:jc w:val="left"/>
              <w:rPr>
                <w:rFonts w:eastAsia="楷体_GB2312"/>
                <w:b/>
                <w:szCs w:val="21"/>
              </w:rPr>
            </w:pPr>
            <w:r>
              <w:rPr>
                <w:rFonts w:eastAsia="楷体_GB2312"/>
                <w:b/>
                <w:szCs w:val="21"/>
              </w:rPr>
              <w:t>二、资产支持证券概况（续）</w:t>
            </w:r>
          </w:p>
          <w:p w14:paraId="0DEF1DC0">
            <w:pPr>
              <w:widowControl/>
              <w:spacing w:line="360" w:lineRule="auto"/>
              <w:rPr>
                <w:rFonts w:eastAsia="楷体_GB2312"/>
                <w:bCs/>
                <w:szCs w:val="21"/>
              </w:rPr>
            </w:pPr>
            <w:r>
              <w:rPr>
                <w:rFonts w:eastAsia="楷体_GB2312"/>
                <w:bCs/>
                <w:szCs w:val="21"/>
              </w:rPr>
              <w:t>（三）各档资产支持证券的本金、利息兑付情况</w:t>
            </w:r>
          </w:p>
        </w:tc>
      </w:tr>
      <w:tr w14:paraId="522D00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931" w:type="dxa"/>
            <w:tcBorders>
              <w:top w:val="single" w:color="auto" w:sz="4" w:space="0"/>
              <w:bottom w:val="single" w:color="auto" w:sz="4" w:space="0"/>
              <w:right w:val="single" w:color="auto" w:sz="4" w:space="0"/>
            </w:tcBorders>
          </w:tcPr>
          <w:p w14:paraId="3EC74B49">
            <w:pPr>
              <w:widowControl/>
              <w:spacing w:line="360" w:lineRule="auto"/>
              <w:jc w:val="left"/>
              <w:rPr>
                <w:rFonts w:eastAsia="楷体_GB2312"/>
                <w:b/>
                <w:sz w:val="18"/>
                <w:lang w:eastAsia="zh-TW"/>
              </w:rPr>
            </w:pPr>
            <w:r>
              <w:rPr>
                <w:rFonts w:eastAsia="楷体_GB2312"/>
                <w:b/>
                <w:sz w:val="18"/>
                <w:lang w:eastAsia="zh-TW"/>
              </w:rPr>
              <w:t>证券分层</w:t>
            </w:r>
          </w:p>
        </w:tc>
        <w:tc>
          <w:tcPr>
            <w:tcW w:w="906" w:type="dxa"/>
            <w:tcBorders>
              <w:top w:val="single" w:color="auto" w:sz="4" w:space="0"/>
              <w:left w:val="single" w:color="auto" w:sz="4" w:space="0"/>
              <w:bottom w:val="single" w:color="auto" w:sz="4" w:space="0"/>
              <w:right w:val="single" w:color="auto" w:sz="4" w:space="0"/>
            </w:tcBorders>
          </w:tcPr>
          <w:p w14:paraId="7E9FF5A6">
            <w:pPr>
              <w:keepNext/>
              <w:keepLines/>
              <w:widowControl/>
              <w:spacing w:line="360" w:lineRule="auto"/>
              <w:ind w:right="-238" w:rightChars="-119"/>
              <w:jc w:val="left"/>
              <w:rPr>
                <w:rFonts w:eastAsia="楷体_GB2312"/>
                <w:b/>
                <w:lang w:eastAsia="zh-TW"/>
              </w:rPr>
            </w:pPr>
            <w:r>
              <w:rPr>
                <w:rFonts w:eastAsia="楷体_GB2312"/>
                <w:b/>
                <w:sz w:val="18"/>
                <w:szCs w:val="18"/>
              </w:rPr>
              <w:t>执行利率（%）</w:t>
            </w:r>
          </w:p>
        </w:tc>
        <w:tc>
          <w:tcPr>
            <w:tcW w:w="1217" w:type="dxa"/>
            <w:tcBorders>
              <w:top w:val="single" w:color="auto" w:sz="4" w:space="0"/>
              <w:left w:val="single" w:color="auto" w:sz="4" w:space="0"/>
              <w:bottom w:val="single" w:color="auto" w:sz="4" w:space="0"/>
              <w:right w:val="single" w:color="auto" w:sz="4" w:space="0"/>
            </w:tcBorders>
          </w:tcPr>
          <w:p w14:paraId="599FE21B">
            <w:pPr>
              <w:keepNext/>
              <w:keepLines/>
              <w:widowControl/>
              <w:spacing w:line="360" w:lineRule="auto"/>
              <w:jc w:val="center"/>
              <w:rPr>
                <w:rFonts w:eastAsia="楷体_GB2312"/>
                <w:b/>
                <w:lang w:eastAsia="zh-TW"/>
              </w:rPr>
            </w:pPr>
            <w:r>
              <w:rPr>
                <w:rFonts w:eastAsia="楷体_GB2312"/>
                <w:b/>
                <w:sz w:val="18"/>
                <w:szCs w:val="18"/>
              </w:rPr>
              <w:t>利息支付金额</w:t>
            </w:r>
          </w:p>
        </w:tc>
        <w:tc>
          <w:tcPr>
            <w:tcW w:w="1062" w:type="dxa"/>
            <w:tcBorders>
              <w:top w:val="single" w:color="auto" w:sz="4" w:space="0"/>
              <w:left w:val="single" w:color="auto" w:sz="4" w:space="0"/>
              <w:bottom w:val="single" w:color="auto" w:sz="4" w:space="0"/>
              <w:right w:val="single" w:color="auto" w:sz="4" w:space="0"/>
            </w:tcBorders>
          </w:tcPr>
          <w:p w14:paraId="65B208F0">
            <w:pPr>
              <w:keepNext/>
              <w:keepLines/>
              <w:widowControl/>
              <w:spacing w:line="360" w:lineRule="auto"/>
              <w:jc w:val="center"/>
              <w:rPr>
                <w:rFonts w:eastAsia="楷体_GB2312"/>
                <w:b/>
                <w:lang w:eastAsia="zh-TW"/>
              </w:rPr>
            </w:pPr>
            <w:r>
              <w:rPr>
                <w:rFonts w:eastAsia="楷体_GB2312"/>
                <w:b/>
                <w:sz w:val="18"/>
                <w:szCs w:val="18"/>
              </w:rPr>
              <w:t>每100元支付</w:t>
            </w:r>
            <w:r>
              <w:rPr>
                <w:rFonts w:eastAsia="楷体_GB2312"/>
                <w:b/>
                <w:sz w:val="18"/>
              </w:rPr>
              <w:t>利息</w:t>
            </w:r>
          </w:p>
        </w:tc>
        <w:tc>
          <w:tcPr>
            <w:tcW w:w="1265" w:type="dxa"/>
            <w:tcBorders>
              <w:top w:val="single" w:color="auto" w:sz="4" w:space="0"/>
              <w:left w:val="single" w:color="auto" w:sz="4" w:space="0"/>
              <w:bottom w:val="single" w:color="auto" w:sz="4" w:space="0"/>
              <w:right w:val="single" w:color="auto" w:sz="4" w:space="0"/>
            </w:tcBorders>
          </w:tcPr>
          <w:p w14:paraId="7A0DC4F0">
            <w:pPr>
              <w:keepNext/>
              <w:keepLines/>
              <w:widowControl/>
              <w:spacing w:line="360" w:lineRule="auto"/>
              <w:jc w:val="center"/>
              <w:rPr>
                <w:rFonts w:eastAsia="楷体_GB2312"/>
                <w:b/>
                <w:sz w:val="18"/>
                <w:szCs w:val="18"/>
                <w:lang w:eastAsia="zh-TW"/>
              </w:rPr>
            </w:pPr>
            <w:r>
              <w:rPr>
                <w:rFonts w:eastAsia="楷体_GB2312"/>
                <w:b/>
                <w:sz w:val="18"/>
                <w:szCs w:val="18"/>
                <w:lang w:eastAsia="zh-TW"/>
              </w:rPr>
              <w:t>本金支付额</w:t>
            </w:r>
          </w:p>
        </w:tc>
        <w:tc>
          <w:tcPr>
            <w:tcW w:w="992" w:type="dxa"/>
            <w:tcBorders>
              <w:top w:val="single" w:color="auto" w:sz="4" w:space="0"/>
              <w:left w:val="single" w:color="auto" w:sz="4" w:space="0"/>
              <w:bottom w:val="single" w:color="auto" w:sz="4" w:space="0"/>
              <w:right w:val="single" w:color="auto" w:sz="4" w:space="0"/>
            </w:tcBorders>
          </w:tcPr>
          <w:p w14:paraId="7D491EA6">
            <w:pPr>
              <w:keepNext/>
              <w:keepLines/>
              <w:widowControl/>
              <w:spacing w:line="360" w:lineRule="auto"/>
              <w:jc w:val="center"/>
              <w:rPr>
                <w:rFonts w:eastAsia="楷体_GB2312"/>
                <w:b/>
                <w:sz w:val="18"/>
                <w:szCs w:val="18"/>
                <w:lang w:eastAsia="zh-TW"/>
              </w:rPr>
            </w:pPr>
            <w:r>
              <w:rPr>
                <w:rFonts w:eastAsia="楷体_GB2312"/>
                <w:b/>
                <w:sz w:val="18"/>
                <w:szCs w:val="18"/>
                <w:lang w:eastAsia="zh-TW"/>
              </w:rPr>
              <w:t>每</w:t>
            </w:r>
            <w:r>
              <w:rPr>
                <w:rFonts w:eastAsia="楷体_GB2312"/>
                <w:b/>
                <w:sz w:val="18"/>
                <w:szCs w:val="18"/>
              </w:rPr>
              <w:t>100</w:t>
            </w:r>
            <w:r>
              <w:rPr>
                <w:rFonts w:eastAsia="楷体_GB2312"/>
                <w:b/>
                <w:sz w:val="18"/>
                <w:szCs w:val="18"/>
                <w:lang w:eastAsia="zh-TW"/>
              </w:rPr>
              <w:t>元支付本金</w:t>
            </w:r>
          </w:p>
        </w:tc>
        <w:tc>
          <w:tcPr>
            <w:tcW w:w="1986" w:type="dxa"/>
            <w:tcBorders>
              <w:top w:val="single" w:color="auto" w:sz="4" w:space="0"/>
              <w:left w:val="single" w:color="auto" w:sz="4" w:space="0"/>
              <w:bottom w:val="single" w:color="auto" w:sz="4" w:space="0"/>
            </w:tcBorders>
          </w:tcPr>
          <w:p w14:paraId="7929C30F">
            <w:pPr>
              <w:keepNext/>
              <w:keepLines/>
              <w:widowControl/>
              <w:spacing w:line="360" w:lineRule="auto"/>
              <w:jc w:val="center"/>
              <w:rPr>
                <w:rFonts w:eastAsia="楷体_GB2312"/>
                <w:b/>
                <w:sz w:val="18"/>
                <w:szCs w:val="18"/>
                <w:lang w:eastAsia="zh-TW"/>
              </w:rPr>
            </w:pPr>
            <w:r>
              <w:rPr>
                <w:rFonts w:eastAsia="楷体_GB2312"/>
                <w:b/>
                <w:sz w:val="18"/>
                <w:szCs w:val="18"/>
                <w:lang w:eastAsia="zh-TW"/>
              </w:rPr>
              <w:t>总支付金额</w:t>
            </w:r>
          </w:p>
        </w:tc>
      </w:tr>
      <w:tr w14:paraId="726547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931" w:type="dxa"/>
            <w:tcBorders>
              <w:top w:val="single" w:color="auto" w:sz="4" w:space="0"/>
              <w:bottom w:val="single" w:color="auto" w:sz="4" w:space="0"/>
              <w:right w:val="single" w:color="auto" w:sz="4" w:space="0"/>
            </w:tcBorders>
          </w:tcPr>
          <w:p w14:paraId="23893BEC">
            <w:pPr>
              <w:widowControl/>
              <w:spacing w:line="360" w:lineRule="auto"/>
              <w:jc w:val="left"/>
              <w:rPr>
                <w:rFonts w:eastAsia="楷体_GB2312"/>
                <w:sz w:val="18"/>
                <w:szCs w:val="18"/>
              </w:rPr>
            </w:pPr>
            <w:r>
              <w:rPr>
                <w:rFonts w:eastAsia="楷体_GB2312"/>
                <w:sz w:val="18"/>
                <w:szCs w:val="18"/>
                <w:lang w:eastAsia="zh-TW"/>
              </w:rPr>
              <w:t>优先</w:t>
            </w:r>
            <w:r>
              <w:rPr>
                <w:rFonts w:eastAsia="楷体_GB2312"/>
                <w:sz w:val="18"/>
                <w:szCs w:val="18"/>
              </w:rPr>
              <w:t>A</w:t>
            </w:r>
            <w:r>
              <w:rPr>
                <w:rFonts w:eastAsia="楷体_GB2312"/>
                <w:sz w:val="18"/>
                <w:szCs w:val="18"/>
                <w:lang w:eastAsia="zh-TW"/>
              </w:rPr>
              <w:t>档</w:t>
            </w:r>
          </w:p>
        </w:tc>
        <w:tc>
          <w:tcPr>
            <w:tcW w:w="906" w:type="dxa"/>
            <w:tcBorders>
              <w:top w:val="single" w:color="auto" w:sz="4" w:space="0"/>
              <w:left w:val="single" w:color="auto" w:sz="4" w:space="0"/>
              <w:bottom w:val="single" w:color="auto" w:sz="4" w:space="0"/>
              <w:right w:val="single" w:color="auto" w:sz="4" w:space="0"/>
            </w:tcBorders>
          </w:tcPr>
          <w:p w14:paraId="62CC8C92">
            <w:pPr>
              <w:widowControl/>
              <w:spacing w:line="360" w:lineRule="auto"/>
              <w:jc w:val="center"/>
              <w:rPr>
                <w:rFonts w:eastAsia="楷体_GB2312"/>
                <w:b/>
                <w:sz w:val="18"/>
                <w:szCs w:val="18"/>
                <w:lang w:eastAsia="zh-TW"/>
              </w:rPr>
            </w:pPr>
          </w:p>
        </w:tc>
        <w:tc>
          <w:tcPr>
            <w:tcW w:w="1217" w:type="dxa"/>
            <w:tcBorders>
              <w:top w:val="single" w:color="auto" w:sz="4" w:space="0"/>
              <w:left w:val="single" w:color="auto" w:sz="4" w:space="0"/>
              <w:bottom w:val="single" w:color="auto" w:sz="4" w:space="0"/>
              <w:right w:val="single" w:color="auto" w:sz="4" w:space="0"/>
            </w:tcBorders>
          </w:tcPr>
          <w:p w14:paraId="5C39B3F3">
            <w:pPr>
              <w:widowControl/>
              <w:spacing w:line="360" w:lineRule="auto"/>
              <w:jc w:val="center"/>
              <w:rPr>
                <w:rFonts w:eastAsia="楷体_GB2312"/>
                <w:b/>
                <w:sz w:val="18"/>
                <w:szCs w:val="18"/>
                <w:lang w:eastAsia="zh-TW"/>
              </w:rPr>
            </w:pPr>
          </w:p>
        </w:tc>
        <w:tc>
          <w:tcPr>
            <w:tcW w:w="1062" w:type="dxa"/>
            <w:tcBorders>
              <w:top w:val="single" w:color="auto" w:sz="4" w:space="0"/>
              <w:left w:val="single" w:color="auto" w:sz="4" w:space="0"/>
              <w:bottom w:val="single" w:color="auto" w:sz="4" w:space="0"/>
              <w:right w:val="single" w:color="auto" w:sz="4" w:space="0"/>
            </w:tcBorders>
          </w:tcPr>
          <w:p w14:paraId="2CB9553C">
            <w:pPr>
              <w:widowControl/>
              <w:spacing w:line="360" w:lineRule="auto"/>
              <w:jc w:val="center"/>
              <w:rPr>
                <w:rFonts w:eastAsia="楷体_GB2312"/>
                <w:b/>
                <w:sz w:val="18"/>
                <w:szCs w:val="18"/>
                <w:lang w:eastAsia="zh-TW"/>
              </w:rPr>
            </w:pPr>
          </w:p>
        </w:tc>
        <w:tc>
          <w:tcPr>
            <w:tcW w:w="1265" w:type="dxa"/>
            <w:tcBorders>
              <w:top w:val="single" w:color="auto" w:sz="4" w:space="0"/>
              <w:left w:val="single" w:color="auto" w:sz="4" w:space="0"/>
              <w:bottom w:val="single" w:color="auto" w:sz="4" w:space="0"/>
              <w:right w:val="single" w:color="auto" w:sz="4" w:space="0"/>
            </w:tcBorders>
          </w:tcPr>
          <w:p w14:paraId="5D079E1C">
            <w:pPr>
              <w:widowControl/>
              <w:spacing w:line="360" w:lineRule="auto"/>
              <w:jc w:val="center"/>
              <w:rPr>
                <w:rFonts w:eastAsia="楷体_GB2312"/>
                <w:b/>
                <w:sz w:val="18"/>
                <w:szCs w:val="18"/>
                <w:lang w:eastAsia="zh-TW"/>
              </w:rPr>
            </w:pPr>
          </w:p>
        </w:tc>
        <w:tc>
          <w:tcPr>
            <w:tcW w:w="992" w:type="dxa"/>
            <w:tcBorders>
              <w:top w:val="single" w:color="auto" w:sz="4" w:space="0"/>
              <w:left w:val="single" w:color="auto" w:sz="4" w:space="0"/>
              <w:bottom w:val="single" w:color="auto" w:sz="4" w:space="0"/>
              <w:right w:val="single" w:color="auto" w:sz="4" w:space="0"/>
            </w:tcBorders>
          </w:tcPr>
          <w:p w14:paraId="084984AC">
            <w:pPr>
              <w:widowControl/>
              <w:spacing w:line="360" w:lineRule="auto"/>
              <w:jc w:val="center"/>
              <w:rPr>
                <w:rFonts w:eastAsia="楷体_GB2312"/>
                <w:b/>
                <w:sz w:val="18"/>
                <w:szCs w:val="18"/>
                <w:lang w:eastAsia="zh-TW"/>
              </w:rPr>
            </w:pPr>
          </w:p>
        </w:tc>
        <w:tc>
          <w:tcPr>
            <w:tcW w:w="1986" w:type="dxa"/>
            <w:tcBorders>
              <w:top w:val="single" w:color="auto" w:sz="4" w:space="0"/>
              <w:left w:val="single" w:color="auto" w:sz="4" w:space="0"/>
              <w:bottom w:val="single" w:color="auto" w:sz="4" w:space="0"/>
            </w:tcBorders>
          </w:tcPr>
          <w:p w14:paraId="07736E90">
            <w:pPr>
              <w:widowControl/>
              <w:spacing w:line="360" w:lineRule="auto"/>
              <w:jc w:val="center"/>
              <w:rPr>
                <w:rFonts w:eastAsia="楷体_GB2312"/>
                <w:b/>
                <w:sz w:val="18"/>
                <w:szCs w:val="18"/>
                <w:lang w:eastAsia="zh-TW"/>
              </w:rPr>
            </w:pPr>
          </w:p>
        </w:tc>
      </w:tr>
      <w:tr w14:paraId="49570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931" w:type="dxa"/>
            <w:tcBorders>
              <w:top w:val="single" w:color="auto" w:sz="4" w:space="0"/>
              <w:bottom w:val="single" w:color="auto" w:sz="4" w:space="0"/>
              <w:right w:val="single" w:color="auto" w:sz="4" w:space="0"/>
            </w:tcBorders>
          </w:tcPr>
          <w:p w14:paraId="3261D026">
            <w:pPr>
              <w:widowControl/>
              <w:spacing w:line="360" w:lineRule="auto"/>
              <w:jc w:val="left"/>
              <w:rPr>
                <w:rFonts w:eastAsia="楷体_GB2312"/>
                <w:sz w:val="18"/>
                <w:szCs w:val="18"/>
                <w:lang w:eastAsia="zh-TW"/>
              </w:rPr>
            </w:pPr>
            <w:r>
              <w:rPr>
                <w:rFonts w:eastAsia="楷体_GB2312"/>
                <w:sz w:val="18"/>
                <w:szCs w:val="18"/>
                <w:lang w:eastAsia="zh-TW"/>
              </w:rPr>
              <w:t>优先</w:t>
            </w:r>
            <w:r>
              <w:rPr>
                <w:rFonts w:eastAsia="楷体_GB2312"/>
                <w:sz w:val="18"/>
                <w:szCs w:val="18"/>
              </w:rPr>
              <w:t>B</w:t>
            </w:r>
            <w:r>
              <w:rPr>
                <w:rFonts w:eastAsia="楷体_GB2312"/>
                <w:sz w:val="18"/>
                <w:szCs w:val="18"/>
                <w:lang w:eastAsia="zh-TW"/>
              </w:rPr>
              <w:t>档</w:t>
            </w:r>
          </w:p>
        </w:tc>
        <w:tc>
          <w:tcPr>
            <w:tcW w:w="906" w:type="dxa"/>
            <w:tcBorders>
              <w:top w:val="single" w:color="auto" w:sz="4" w:space="0"/>
              <w:left w:val="single" w:color="auto" w:sz="4" w:space="0"/>
              <w:bottom w:val="single" w:color="auto" w:sz="4" w:space="0"/>
              <w:right w:val="single" w:color="auto" w:sz="4" w:space="0"/>
            </w:tcBorders>
          </w:tcPr>
          <w:p w14:paraId="6D7B1319">
            <w:pPr>
              <w:widowControl/>
              <w:spacing w:line="360" w:lineRule="auto"/>
              <w:jc w:val="center"/>
              <w:rPr>
                <w:rFonts w:eastAsia="楷体_GB2312"/>
                <w:b/>
                <w:sz w:val="18"/>
                <w:szCs w:val="18"/>
                <w:lang w:eastAsia="zh-TW"/>
              </w:rPr>
            </w:pPr>
          </w:p>
        </w:tc>
        <w:tc>
          <w:tcPr>
            <w:tcW w:w="1217" w:type="dxa"/>
            <w:tcBorders>
              <w:top w:val="single" w:color="auto" w:sz="4" w:space="0"/>
              <w:left w:val="single" w:color="auto" w:sz="4" w:space="0"/>
              <w:bottom w:val="single" w:color="auto" w:sz="4" w:space="0"/>
              <w:right w:val="single" w:color="auto" w:sz="4" w:space="0"/>
            </w:tcBorders>
          </w:tcPr>
          <w:p w14:paraId="2598A95C">
            <w:pPr>
              <w:widowControl/>
              <w:spacing w:line="360" w:lineRule="auto"/>
              <w:jc w:val="center"/>
              <w:rPr>
                <w:rFonts w:eastAsia="楷体_GB2312"/>
                <w:b/>
                <w:sz w:val="18"/>
                <w:szCs w:val="18"/>
                <w:lang w:eastAsia="zh-TW"/>
              </w:rPr>
            </w:pPr>
          </w:p>
        </w:tc>
        <w:tc>
          <w:tcPr>
            <w:tcW w:w="1062" w:type="dxa"/>
            <w:tcBorders>
              <w:top w:val="single" w:color="auto" w:sz="4" w:space="0"/>
              <w:left w:val="single" w:color="auto" w:sz="4" w:space="0"/>
              <w:bottom w:val="single" w:color="auto" w:sz="4" w:space="0"/>
              <w:right w:val="single" w:color="auto" w:sz="4" w:space="0"/>
            </w:tcBorders>
          </w:tcPr>
          <w:p w14:paraId="6CA5EAE3">
            <w:pPr>
              <w:widowControl/>
              <w:spacing w:line="360" w:lineRule="auto"/>
              <w:jc w:val="center"/>
              <w:rPr>
                <w:rFonts w:eastAsia="楷体_GB2312"/>
                <w:b/>
                <w:sz w:val="18"/>
                <w:szCs w:val="18"/>
                <w:lang w:eastAsia="zh-TW"/>
              </w:rPr>
            </w:pPr>
          </w:p>
        </w:tc>
        <w:tc>
          <w:tcPr>
            <w:tcW w:w="1265" w:type="dxa"/>
            <w:tcBorders>
              <w:top w:val="single" w:color="auto" w:sz="4" w:space="0"/>
              <w:left w:val="single" w:color="auto" w:sz="4" w:space="0"/>
              <w:bottom w:val="single" w:color="auto" w:sz="4" w:space="0"/>
              <w:right w:val="single" w:color="auto" w:sz="4" w:space="0"/>
            </w:tcBorders>
          </w:tcPr>
          <w:p w14:paraId="3430F6B5">
            <w:pPr>
              <w:widowControl/>
              <w:spacing w:line="360" w:lineRule="auto"/>
              <w:jc w:val="center"/>
              <w:rPr>
                <w:rFonts w:eastAsia="楷体_GB2312"/>
                <w:b/>
                <w:sz w:val="18"/>
                <w:szCs w:val="18"/>
                <w:lang w:eastAsia="zh-TW"/>
              </w:rPr>
            </w:pPr>
          </w:p>
        </w:tc>
        <w:tc>
          <w:tcPr>
            <w:tcW w:w="992" w:type="dxa"/>
            <w:tcBorders>
              <w:top w:val="single" w:color="auto" w:sz="4" w:space="0"/>
              <w:left w:val="single" w:color="auto" w:sz="4" w:space="0"/>
              <w:bottom w:val="single" w:color="auto" w:sz="4" w:space="0"/>
              <w:right w:val="single" w:color="auto" w:sz="4" w:space="0"/>
            </w:tcBorders>
          </w:tcPr>
          <w:p w14:paraId="55755B7D">
            <w:pPr>
              <w:widowControl/>
              <w:spacing w:line="360" w:lineRule="auto"/>
              <w:jc w:val="center"/>
              <w:rPr>
                <w:rFonts w:eastAsia="楷体_GB2312"/>
                <w:b/>
                <w:sz w:val="18"/>
                <w:szCs w:val="18"/>
                <w:lang w:eastAsia="zh-TW"/>
              </w:rPr>
            </w:pPr>
          </w:p>
        </w:tc>
        <w:tc>
          <w:tcPr>
            <w:tcW w:w="1986" w:type="dxa"/>
            <w:tcBorders>
              <w:top w:val="single" w:color="auto" w:sz="4" w:space="0"/>
              <w:left w:val="single" w:color="auto" w:sz="4" w:space="0"/>
              <w:bottom w:val="single" w:color="auto" w:sz="4" w:space="0"/>
            </w:tcBorders>
          </w:tcPr>
          <w:p w14:paraId="1243AD2B">
            <w:pPr>
              <w:widowControl/>
              <w:spacing w:line="360" w:lineRule="auto"/>
              <w:jc w:val="center"/>
              <w:rPr>
                <w:rFonts w:eastAsia="楷体_GB2312"/>
                <w:b/>
                <w:sz w:val="18"/>
                <w:szCs w:val="18"/>
                <w:lang w:eastAsia="zh-TW"/>
              </w:rPr>
            </w:pPr>
          </w:p>
        </w:tc>
      </w:tr>
      <w:tr w14:paraId="6B6EDD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4" w:hRule="atLeast"/>
        </w:trPr>
        <w:tc>
          <w:tcPr>
            <w:tcW w:w="931" w:type="dxa"/>
            <w:tcBorders>
              <w:top w:val="single" w:color="auto" w:sz="4" w:space="0"/>
              <w:bottom w:val="single" w:color="auto" w:sz="4" w:space="0"/>
              <w:right w:val="single" w:color="auto" w:sz="4" w:space="0"/>
            </w:tcBorders>
          </w:tcPr>
          <w:p w14:paraId="2BAEFC1D">
            <w:pPr>
              <w:widowControl/>
              <w:spacing w:line="360" w:lineRule="auto"/>
              <w:jc w:val="left"/>
              <w:rPr>
                <w:rFonts w:eastAsia="楷体_GB2312"/>
                <w:b/>
                <w:sz w:val="18"/>
                <w:szCs w:val="18"/>
              </w:rPr>
            </w:pPr>
            <w:r>
              <w:rPr>
                <w:rFonts w:eastAsia="楷体_GB2312"/>
                <w:sz w:val="18"/>
              </w:rPr>
              <w:t>次级</w:t>
            </w:r>
          </w:p>
        </w:tc>
        <w:tc>
          <w:tcPr>
            <w:tcW w:w="906" w:type="dxa"/>
            <w:tcBorders>
              <w:top w:val="single" w:color="auto" w:sz="4" w:space="0"/>
              <w:left w:val="single" w:color="auto" w:sz="4" w:space="0"/>
              <w:bottom w:val="single" w:color="auto" w:sz="4" w:space="0"/>
              <w:right w:val="single" w:color="auto" w:sz="4" w:space="0"/>
            </w:tcBorders>
          </w:tcPr>
          <w:p w14:paraId="730AB8FA">
            <w:pPr>
              <w:widowControl/>
              <w:spacing w:line="360" w:lineRule="auto"/>
              <w:jc w:val="center"/>
              <w:rPr>
                <w:rFonts w:eastAsia="楷体_GB2312"/>
                <w:b/>
                <w:sz w:val="18"/>
                <w:szCs w:val="18"/>
                <w:lang w:eastAsia="zh-TW"/>
              </w:rPr>
            </w:pPr>
          </w:p>
        </w:tc>
        <w:tc>
          <w:tcPr>
            <w:tcW w:w="1217" w:type="dxa"/>
            <w:tcBorders>
              <w:top w:val="single" w:color="auto" w:sz="4" w:space="0"/>
              <w:left w:val="single" w:color="auto" w:sz="4" w:space="0"/>
              <w:bottom w:val="single" w:color="auto" w:sz="4" w:space="0"/>
              <w:right w:val="single" w:color="auto" w:sz="4" w:space="0"/>
            </w:tcBorders>
          </w:tcPr>
          <w:p w14:paraId="7D6743DB">
            <w:pPr>
              <w:widowControl/>
              <w:spacing w:line="360" w:lineRule="auto"/>
              <w:jc w:val="center"/>
              <w:rPr>
                <w:rFonts w:eastAsia="楷体_GB2312"/>
                <w:b/>
                <w:sz w:val="18"/>
                <w:szCs w:val="18"/>
                <w:lang w:eastAsia="zh-TW"/>
              </w:rPr>
            </w:pPr>
          </w:p>
        </w:tc>
        <w:tc>
          <w:tcPr>
            <w:tcW w:w="1051" w:type="dxa"/>
            <w:tcBorders>
              <w:top w:val="single" w:color="auto" w:sz="4" w:space="0"/>
              <w:left w:val="single" w:color="auto" w:sz="4" w:space="0"/>
              <w:bottom w:val="single" w:color="auto" w:sz="4" w:space="0"/>
              <w:right w:val="single" w:color="auto" w:sz="4" w:space="0"/>
            </w:tcBorders>
          </w:tcPr>
          <w:p w14:paraId="7DA31E44">
            <w:pPr>
              <w:widowControl/>
              <w:spacing w:line="360" w:lineRule="auto"/>
              <w:jc w:val="center"/>
              <w:rPr>
                <w:rFonts w:eastAsia="楷体_GB2312"/>
                <w:b/>
                <w:sz w:val="18"/>
                <w:szCs w:val="18"/>
                <w:lang w:eastAsia="zh-TW"/>
              </w:rPr>
            </w:pPr>
          </w:p>
        </w:tc>
        <w:tc>
          <w:tcPr>
            <w:tcW w:w="1276" w:type="dxa"/>
            <w:tcBorders>
              <w:top w:val="single" w:color="auto" w:sz="4" w:space="0"/>
              <w:left w:val="single" w:color="auto" w:sz="4" w:space="0"/>
              <w:bottom w:val="single" w:color="auto" w:sz="4" w:space="0"/>
              <w:right w:val="single" w:color="auto" w:sz="4" w:space="0"/>
            </w:tcBorders>
          </w:tcPr>
          <w:p w14:paraId="75CD24B0">
            <w:pPr>
              <w:widowControl/>
              <w:spacing w:line="360" w:lineRule="auto"/>
              <w:jc w:val="center"/>
              <w:rPr>
                <w:rFonts w:eastAsia="楷体_GB2312"/>
                <w:b/>
                <w:sz w:val="18"/>
                <w:szCs w:val="18"/>
                <w:lang w:eastAsia="zh-TW"/>
              </w:rPr>
            </w:pPr>
          </w:p>
        </w:tc>
        <w:tc>
          <w:tcPr>
            <w:tcW w:w="992" w:type="dxa"/>
            <w:tcBorders>
              <w:top w:val="single" w:color="auto" w:sz="4" w:space="0"/>
              <w:left w:val="single" w:color="auto" w:sz="4" w:space="0"/>
              <w:bottom w:val="single" w:color="auto" w:sz="4" w:space="0"/>
              <w:right w:val="single" w:color="auto" w:sz="4" w:space="0"/>
            </w:tcBorders>
          </w:tcPr>
          <w:p w14:paraId="5A057C3B">
            <w:pPr>
              <w:widowControl/>
              <w:spacing w:line="360" w:lineRule="auto"/>
              <w:jc w:val="center"/>
              <w:rPr>
                <w:rFonts w:eastAsia="楷体_GB2312"/>
                <w:b/>
                <w:sz w:val="18"/>
                <w:szCs w:val="18"/>
                <w:lang w:eastAsia="zh-TW"/>
              </w:rPr>
            </w:pPr>
          </w:p>
        </w:tc>
        <w:tc>
          <w:tcPr>
            <w:tcW w:w="1986" w:type="dxa"/>
            <w:tcBorders>
              <w:top w:val="single" w:color="auto" w:sz="4" w:space="0"/>
              <w:left w:val="single" w:color="auto" w:sz="4" w:space="0"/>
              <w:bottom w:val="single" w:color="auto" w:sz="4" w:space="0"/>
            </w:tcBorders>
          </w:tcPr>
          <w:p w14:paraId="1F7BCCDC">
            <w:pPr>
              <w:widowControl/>
              <w:spacing w:line="360" w:lineRule="auto"/>
              <w:jc w:val="center"/>
              <w:rPr>
                <w:rFonts w:eastAsia="楷体_GB2312"/>
                <w:b/>
                <w:sz w:val="18"/>
                <w:szCs w:val="18"/>
                <w:lang w:eastAsia="zh-TW"/>
              </w:rPr>
            </w:pPr>
          </w:p>
        </w:tc>
      </w:tr>
    </w:tbl>
    <w:p w14:paraId="1728E018">
      <w:pPr>
        <w:rPr>
          <w:rFonts w:eastAsia="楷体_GB2312"/>
        </w:rPr>
      </w:pPr>
    </w:p>
    <w:p w14:paraId="1629C838">
      <w:pPr>
        <w:widowControl/>
        <w:jc w:val="left"/>
        <w:rPr>
          <w:rFonts w:eastAsia="楷体_GB2312"/>
        </w:rPr>
      </w:pPr>
      <w:r>
        <w:rPr>
          <w:rFonts w:eastAsia="楷体_GB2312"/>
        </w:rPr>
        <w:br w:type="page"/>
      </w:r>
    </w:p>
    <w:tbl>
      <w:tblPr>
        <w:tblStyle w:val="27"/>
        <w:tblW w:w="821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6"/>
        <w:gridCol w:w="1445"/>
        <w:gridCol w:w="1417"/>
        <w:gridCol w:w="1560"/>
        <w:gridCol w:w="1559"/>
      </w:tblGrid>
      <w:tr w14:paraId="0EDA5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17" w:type="dxa"/>
            <w:gridSpan w:val="5"/>
            <w:tcBorders>
              <w:top w:val="single" w:color="auto" w:sz="4" w:space="0"/>
              <w:left w:val="single" w:color="auto" w:sz="4" w:space="0"/>
              <w:bottom w:val="single" w:color="auto" w:sz="4" w:space="0"/>
              <w:right w:val="single" w:color="auto" w:sz="4" w:space="0"/>
            </w:tcBorders>
          </w:tcPr>
          <w:p w14:paraId="5BF2DB77">
            <w:pPr>
              <w:widowControl/>
              <w:spacing w:line="360" w:lineRule="auto"/>
              <w:jc w:val="center"/>
              <w:rPr>
                <w:rFonts w:eastAsia="楷体_GB2312"/>
                <w:b/>
                <w:sz w:val="28"/>
              </w:rPr>
            </w:pPr>
            <w:r>
              <w:rPr>
                <w:rFonts w:eastAsia="楷体_GB2312"/>
              </w:rPr>
              <w:br w:type="page"/>
            </w:r>
            <w:r>
              <w:rPr>
                <w:rFonts w:eastAsia="楷体_GB2312"/>
                <w:b/>
                <w:sz w:val="28"/>
              </w:rPr>
              <w:t>【信托名称】受托机构报告</w:t>
            </w:r>
          </w:p>
        </w:tc>
      </w:tr>
      <w:tr w14:paraId="7ADCA5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17" w:type="dxa"/>
            <w:gridSpan w:val="5"/>
            <w:tcBorders>
              <w:top w:val="single" w:color="auto" w:sz="4" w:space="0"/>
              <w:left w:val="single" w:color="auto" w:sz="4" w:space="0"/>
              <w:bottom w:val="nil"/>
              <w:right w:val="single" w:color="auto" w:sz="4" w:space="0"/>
            </w:tcBorders>
          </w:tcPr>
          <w:p w14:paraId="6A37D469">
            <w:pPr>
              <w:widowControl/>
              <w:spacing w:line="360" w:lineRule="auto"/>
              <w:jc w:val="left"/>
              <w:rPr>
                <w:rFonts w:eastAsia="楷体_GB2312"/>
                <w:b/>
                <w:szCs w:val="21"/>
                <w:lang w:eastAsia="zh-TW"/>
              </w:rPr>
            </w:pPr>
            <w:r>
              <w:rPr>
                <w:rFonts w:eastAsia="楷体_GB2312"/>
                <w:b/>
                <w:szCs w:val="21"/>
                <w:lang w:eastAsia="zh-TW"/>
              </w:rPr>
              <w:t>三、资产池情况</w:t>
            </w:r>
          </w:p>
        </w:tc>
      </w:tr>
      <w:tr w14:paraId="501832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17" w:type="dxa"/>
            <w:gridSpan w:val="5"/>
            <w:tcBorders>
              <w:top w:val="nil"/>
              <w:left w:val="single" w:color="auto" w:sz="4" w:space="0"/>
              <w:bottom w:val="single" w:color="auto" w:sz="4" w:space="0"/>
              <w:right w:val="single" w:color="auto" w:sz="4" w:space="0"/>
            </w:tcBorders>
          </w:tcPr>
          <w:p w14:paraId="7DC6D64D">
            <w:pPr>
              <w:widowControl/>
              <w:spacing w:line="360" w:lineRule="auto"/>
              <w:rPr>
                <w:rFonts w:eastAsia="楷体_GB2312"/>
                <w:bCs/>
                <w:szCs w:val="21"/>
              </w:rPr>
            </w:pPr>
            <w:r>
              <w:rPr>
                <w:rFonts w:eastAsia="楷体_GB2312"/>
                <w:bCs/>
                <w:szCs w:val="21"/>
              </w:rPr>
              <w:t>（一）资产池整体表现情况：</w:t>
            </w:r>
          </w:p>
        </w:tc>
      </w:tr>
      <w:tr w14:paraId="5198B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4B655CD3">
            <w:pPr>
              <w:widowControl/>
              <w:spacing w:line="360" w:lineRule="auto"/>
              <w:jc w:val="left"/>
              <w:rPr>
                <w:rFonts w:eastAsia="楷体_GB2312"/>
                <w:b/>
                <w:sz w:val="24"/>
                <w:lang w:eastAsia="zh-TW"/>
              </w:rPr>
            </w:pPr>
            <w:r>
              <w:rPr>
                <w:rFonts w:eastAsia="楷体_GB2312"/>
                <w:b/>
                <w:sz w:val="24"/>
                <w:lang w:eastAsia="zh-TW"/>
              </w:rPr>
              <w:t>科目</w:t>
            </w:r>
          </w:p>
        </w:tc>
        <w:tc>
          <w:tcPr>
            <w:tcW w:w="1445" w:type="dxa"/>
            <w:tcBorders>
              <w:top w:val="single" w:color="auto" w:sz="4" w:space="0"/>
              <w:left w:val="single" w:color="auto" w:sz="4" w:space="0"/>
              <w:bottom w:val="single" w:color="auto" w:sz="4" w:space="0"/>
              <w:right w:val="single" w:color="auto" w:sz="4" w:space="0"/>
            </w:tcBorders>
          </w:tcPr>
          <w:p w14:paraId="0AA6D822">
            <w:pPr>
              <w:widowControl/>
              <w:spacing w:line="360" w:lineRule="auto"/>
              <w:jc w:val="center"/>
              <w:rPr>
                <w:rFonts w:eastAsia="楷体_GB2312"/>
                <w:b/>
                <w:sz w:val="18"/>
                <w:lang w:eastAsia="zh-TW"/>
              </w:rPr>
            </w:pPr>
            <w:r>
              <w:rPr>
                <w:rFonts w:eastAsia="楷体_GB2312"/>
                <w:b/>
                <w:sz w:val="18"/>
                <w:lang w:eastAsia="zh-TW"/>
              </w:rPr>
              <w:t>笔数</w:t>
            </w:r>
          </w:p>
        </w:tc>
        <w:tc>
          <w:tcPr>
            <w:tcW w:w="1417" w:type="dxa"/>
            <w:tcBorders>
              <w:top w:val="single" w:color="auto" w:sz="4" w:space="0"/>
              <w:left w:val="single" w:color="auto" w:sz="4" w:space="0"/>
              <w:bottom w:val="single" w:color="auto" w:sz="4" w:space="0"/>
              <w:right w:val="single" w:color="auto" w:sz="4" w:space="0"/>
            </w:tcBorders>
          </w:tcPr>
          <w:p w14:paraId="3DBE3CC9">
            <w:pPr>
              <w:widowControl/>
              <w:spacing w:line="360" w:lineRule="auto"/>
              <w:jc w:val="center"/>
              <w:rPr>
                <w:rFonts w:eastAsia="楷体_GB2312"/>
                <w:b/>
                <w:sz w:val="18"/>
                <w:lang w:eastAsia="zh-TW"/>
              </w:rPr>
            </w:pPr>
            <w:r>
              <w:rPr>
                <w:rFonts w:eastAsia="楷体_GB2312"/>
                <w:b/>
                <w:sz w:val="18"/>
                <w:lang w:eastAsia="zh-TW"/>
              </w:rPr>
              <w:t>笔数占比</w:t>
            </w:r>
          </w:p>
        </w:tc>
        <w:tc>
          <w:tcPr>
            <w:tcW w:w="1560" w:type="dxa"/>
            <w:tcBorders>
              <w:top w:val="single" w:color="auto" w:sz="4" w:space="0"/>
              <w:left w:val="single" w:color="auto" w:sz="4" w:space="0"/>
              <w:bottom w:val="single" w:color="auto" w:sz="4" w:space="0"/>
              <w:right w:val="single" w:color="auto" w:sz="4" w:space="0"/>
            </w:tcBorders>
          </w:tcPr>
          <w:p w14:paraId="462EB9D8">
            <w:pPr>
              <w:widowControl/>
              <w:spacing w:line="360" w:lineRule="auto"/>
              <w:jc w:val="center"/>
              <w:rPr>
                <w:rFonts w:eastAsia="楷体_GB2312"/>
                <w:b/>
                <w:sz w:val="18"/>
                <w:lang w:eastAsia="zh-TW"/>
              </w:rPr>
            </w:pPr>
            <w:r>
              <w:rPr>
                <w:rFonts w:eastAsia="楷体_GB2312"/>
                <w:b/>
                <w:sz w:val="18"/>
                <w:lang w:eastAsia="zh-TW"/>
              </w:rPr>
              <w:t>金额</w:t>
            </w:r>
          </w:p>
        </w:tc>
        <w:tc>
          <w:tcPr>
            <w:tcW w:w="1559" w:type="dxa"/>
            <w:tcBorders>
              <w:top w:val="single" w:color="auto" w:sz="4" w:space="0"/>
              <w:left w:val="single" w:color="auto" w:sz="4" w:space="0"/>
              <w:bottom w:val="single" w:color="auto" w:sz="4" w:space="0"/>
              <w:right w:val="single" w:color="auto" w:sz="4" w:space="0"/>
            </w:tcBorders>
          </w:tcPr>
          <w:p w14:paraId="099C709C">
            <w:pPr>
              <w:widowControl/>
              <w:spacing w:line="360" w:lineRule="auto"/>
              <w:jc w:val="center"/>
              <w:rPr>
                <w:rFonts w:eastAsia="楷体_GB2312"/>
                <w:b/>
                <w:sz w:val="18"/>
                <w:lang w:eastAsia="zh-TW"/>
              </w:rPr>
            </w:pPr>
            <w:r>
              <w:rPr>
                <w:rFonts w:eastAsia="楷体_GB2312"/>
                <w:b/>
                <w:sz w:val="18"/>
                <w:lang w:eastAsia="zh-TW"/>
              </w:rPr>
              <w:t>金额占比</w:t>
            </w:r>
          </w:p>
        </w:tc>
      </w:tr>
      <w:tr w14:paraId="1EB23E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6B64E617">
            <w:pPr>
              <w:widowControl/>
              <w:spacing w:line="360" w:lineRule="auto"/>
              <w:jc w:val="left"/>
              <w:rPr>
                <w:rFonts w:eastAsia="楷体_GB2312"/>
                <w:sz w:val="18"/>
                <w:lang w:eastAsia="zh-TW"/>
              </w:rPr>
            </w:pPr>
            <w:r>
              <w:rPr>
                <w:rFonts w:eastAsia="楷体_GB2312"/>
                <w:sz w:val="18"/>
                <w:lang w:eastAsia="zh-TW"/>
              </w:rPr>
              <w:t>正常贷款</w:t>
            </w:r>
          </w:p>
        </w:tc>
        <w:tc>
          <w:tcPr>
            <w:tcW w:w="1445" w:type="dxa"/>
            <w:tcBorders>
              <w:top w:val="single" w:color="auto" w:sz="4" w:space="0"/>
              <w:left w:val="single" w:color="auto" w:sz="4" w:space="0"/>
              <w:bottom w:val="single" w:color="auto" w:sz="4" w:space="0"/>
              <w:right w:val="single" w:color="auto" w:sz="4" w:space="0"/>
            </w:tcBorders>
          </w:tcPr>
          <w:p w14:paraId="18DBDF11">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4609596E">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6FB8AB06">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1A85EBC2">
            <w:pPr>
              <w:widowControl/>
              <w:spacing w:line="360" w:lineRule="auto"/>
              <w:jc w:val="center"/>
              <w:rPr>
                <w:rFonts w:eastAsia="楷体_GB2312"/>
                <w:sz w:val="24"/>
                <w:lang w:eastAsia="zh-TW"/>
              </w:rPr>
            </w:pPr>
          </w:p>
        </w:tc>
      </w:tr>
      <w:tr w14:paraId="79BB98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7178A15">
            <w:pPr>
              <w:widowControl/>
              <w:spacing w:line="360" w:lineRule="auto"/>
              <w:jc w:val="left"/>
              <w:rPr>
                <w:rFonts w:eastAsia="楷体_GB2312"/>
                <w:sz w:val="18"/>
                <w:lang w:eastAsia="zh-TW"/>
              </w:rPr>
            </w:pPr>
            <w:r>
              <w:rPr>
                <w:rFonts w:eastAsia="楷体_GB2312"/>
                <w:sz w:val="18"/>
                <w:lang w:eastAsia="zh-TW"/>
              </w:rPr>
              <w:t>拖欠1-30天贷款</w:t>
            </w:r>
          </w:p>
        </w:tc>
        <w:tc>
          <w:tcPr>
            <w:tcW w:w="1445" w:type="dxa"/>
            <w:tcBorders>
              <w:top w:val="single" w:color="auto" w:sz="4" w:space="0"/>
              <w:left w:val="single" w:color="auto" w:sz="4" w:space="0"/>
              <w:bottom w:val="single" w:color="auto" w:sz="4" w:space="0"/>
              <w:right w:val="single" w:color="auto" w:sz="4" w:space="0"/>
            </w:tcBorders>
          </w:tcPr>
          <w:p w14:paraId="1D192B10">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6995B9B6">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30025E19">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65E0BCE5">
            <w:pPr>
              <w:widowControl/>
              <w:spacing w:line="360" w:lineRule="auto"/>
              <w:jc w:val="center"/>
              <w:rPr>
                <w:rFonts w:eastAsia="楷体_GB2312"/>
                <w:sz w:val="24"/>
                <w:lang w:eastAsia="zh-TW"/>
              </w:rPr>
            </w:pPr>
          </w:p>
        </w:tc>
      </w:tr>
      <w:tr w14:paraId="5174D0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2CE58520">
            <w:pPr>
              <w:widowControl/>
              <w:spacing w:line="360" w:lineRule="auto"/>
              <w:jc w:val="left"/>
              <w:rPr>
                <w:rFonts w:eastAsia="楷体_GB2312"/>
                <w:sz w:val="18"/>
                <w:lang w:eastAsia="zh-TW"/>
              </w:rPr>
            </w:pPr>
            <w:r>
              <w:rPr>
                <w:rFonts w:eastAsia="楷体_GB2312"/>
                <w:sz w:val="18"/>
                <w:lang w:eastAsia="zh-TW"/>
              </w:rPr>
              <w:t>拖欠31-60天贷款</w:t>
            </w:r>
          </w:p>
        </w:tc>
        <w:tc>
          <w:tcPr>
            <w:tcW w:w="1445" w:type="dxa"/>
            <w:tcBorders>
              <w:top w:val="single" w:color="auto" w:sz="4" w:space="0"/>
              <w:left w:val="single" w:color="auto" w:sz="4" w:space="0"/>
              <w:bottom w:val="single" w:color="auto" w:sz="4" w:space="0"/>
              <w:right w:val="single" w:color="auto" w:sz="4" w:space="0"/>
            </w:tcBorders>
          </w:tcPr>
          <w:p w14:paraId="7C30E0E2">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7A302A25">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24CDCAF3">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05EF8959">
            <w:pPr>
              <w:widowControl/>
              <w:spacing w:line="360" w:lineRule="auto"/>
              <w:jc w:val="center"/>
              <w:rPr>
                <w:rFonts w:eastAsia="楷体_GB2312"/>
                <w:sz w:val="24"/>
                <w:lang w:eastAsia="zh-TW"/>
              </w:rPr>
            </w:pPr>
          </w:p>
        </w:tc>
      </w:tr>
      <w:tr w14:paraId="1058AD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09654A6B">
            <w:pPr>
              <w:widowControl/>
              <w:spacing w:line="360" w:lineRule="auto"/>
              <w:jc w:val="left"/>
              <w:rPr>
                <w:rFonts w:eastAsia="楷体_GB2312"/>
                <w:sz w:val="18"/>
                <w:lang w:eastAsia="zh-TW"/>
              </w:rPr>
            </w:pPr>
            <w:r>
              <w:rPr>
                <w:rFonts w:eastAsia="楷体_GB2312"/>
                <w:sz w:val="18"/>
                <w:lang w:eastAsia="zh-TW"/>
              </w:rPr>
              <w:t>拖欠61-90天贷款</w:t>
            </w:r>
          </w:p>
        </w:tc>
        <w:tc>
          <w:tcPr>
            <w:tcW w:w="1445" w:type="dxa"/>
            <w:tcBorders>
              <w:top w:val="single" w:color="auto" w:sz="4" w:space="0"/>
              <w:left w:val="single" w:color="auto" w:sz="4" w:space="0"/>
              <w:bottom w:val="single" w:color="auto" w:sz="4" w:space="0"/>
              <w:right w:val="single" w:color="auto" w:sz="4" w:space="0"/>
            </w:tcBorders>
          </w:tcPr>
          <w:p w14:paraId="0DE49C54">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164DF180">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47366AB4">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0DA865DE">
            <w:pPr>
              <w:widowControl/>
              <w:spacing w:line="360" w:lineRule="auto"/>
              <w:jc w:val="center"/>
              <w:rPr>
                <w:rFonts w:eastAsia="楷体_GB2312"/>
                <w:sz w:val="24"/>
                <w:lang w:eastAsia="zh-TW"/>
              </w:rPr>
            </w:pPr>
          </w:p>
        </w:tc>
      </w:tr>
      <w:tr w14:paraId="016AB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500DAED">
            <w:pPr>
              <w:widowControl/>
              <w:spacing w:line="360" w:lineRule="auto"/>
              <w:jc w:val="left"/>
              <w:rPr>
                <w:rFonts w:eastAsia="楷体_GB2312"/>
                <w:sz w:val="18"/>
                <w:lang w:eastAsia="zh-TW"/>
              </w:rPr>
            </w:pPr>
            <w:r>
              <w:rPr>
                <w:rFonts w:eastAsia="楷体_GB2312"/>
                <w:sz w:val="18"/>
                <w:lang w:eastAsia="zh-TW"/>
              </w:rPr>
              <w:t>拖欠9</w:t>
            </w:r>
            <w:r>
              <w:rPr>
                <w:rFonts w:eastAsia="楷体_GB2312"/>
                <w:sz w:val="18"/>
              </w:rPr>
              <w:t>0</w:t>
            </w:r>
            <w:r>
              <w:rPr>
                <w:rFonts w:eastAsia="楷体_GB2312"/>
                <w:sz w:val="18"/>
                <w:lang w:eastAsia="zh-TW"/>
              </w:rPr>
              <w:t>天以上贷款</w:t>
            </w:r>
          </w:p>
        </w:tc>
        <w:tc>
          <w:tcPr>
            <w:tcW w:w="1445" w:type="dxa"/>
            <w:tcBorders>
              <w:top w:val="single" w:color="auto" w:sz="4" w:space="0"/>
              <w:left w:val="single" w:color="auto" w:sz="4" w:space="0"/>
              <w:bottom w:val="single" w:color="auto" w:sz="4" w:space="0"/>
              <w:right w:val="single" w:color="auto" w:sz="4" w:space="0"/>
            </w:tcBorders>
          </w:tcPr>
          <w:p w14:paraId="7CDB8AC3">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0D6764C9">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529235EE">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4E2BCD2B">
            <w:pPr>
              <w:widowControl/>
              <w:spacing w:line="360" w:lineRule="auto"/>
              <w:jc w:val="center"/>
              <w:rPr>
                <w:rFonts w:eastAsia="楷体_GB2312"/>
                <w:sz w:val="24"/>
                <w:lang w:eastAsia="zh-TW"/>
              </w:rPr>
            </w:pPr>
          </w:p>
        </w:tc>
      </w:tr>
      <w:tr w14:paraId="098C9C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7730BDD9">
            <w:pPr>
              <w:widowControl/>
              <w:spacing w:line="360" w:lineRule="auto"/>
              <w:jc w:val="left"/>
              <w:rPr>
                <w:rFonts w:eastAsia="楷体_GB2312"/>
                <w:sz w:val="18"/>
              </w:rPr>
            </w:pPr>
            <w:r>
              <w:rPr>
                <w:rFonts w:eastAsia="楷体_GB2312"/>
                <w:sz w:val="18"/>
              </w:rPr>
              <w:t>赎回、收购或替换贷款</w:t>
            </w:r>
          </w:p>
        </w:tc>
        <w:tc>
          <w:tcPr>
            <w:tcW w:w="1445" w:type="dxa"/>
            <w:tcBorders>
              <w:top w:val="single" w:color="auto" w:sz="4" w:space="0"/>
              <w:left w:val="single" w:color="auto" w:sz="4" w:space="0"/>
              <w:bottom w:val="single" w:color="auto" w:sz="4" w:space="0"/>
              <w:right w:val="single" w:color="auto" w:sz="4" w:space="0"/>
            </w:tcBorders>
          </w:tcPr>
          <w:p w14:paraId="23F02366">
            <w:pPr>
              <w:widowControl/>
              <w:spacing w:line="360" w:lineRule="auto"/>
              <w:jc w:val="center"/>
              <w:rPr>
                <w:rFonts w:eastAsia="楷体_GB2312"/>
              </w:rPr>
            </w:pPr>
          </w:p>
        </w:tc>
        <w:tc>
          <w:tcPr>
            <w:tcW w:w="1417" w:type="dxa"/>
            <w:tcBorders>
              <w:top w:val="single" w:color="auto" w:sz="4" w:space="0"/>
              <w:left w:val="single" w:color="auto" w:sz="4" w:space="0"/>
              <w:bottom w:val="single" w:color="auto" w:sz="4" w:space="0"/>
              <w:right w:val="single" w:color="auto" w:sz="4" w:space="0"/>
            </w:tcBorders>
          </w:tcPr>
          <w:p w14:paraId="4E8ABEEB">
            <w:pPr>
              <w:widowControl/>
              <w:spacing w:line="360" w:lineRule="auto"/>
              <w:jc w:val="center"/>
              <w:rPr>
                <w:rFonts w:eastAsia="楷体_GB2312"/>
              </w:rPr>
            </w:pPr>
          </w:p>
        </w:tc>
        <w:tc>
          <w:tcPr>
            <w:tcW w:w="1560" w:type="dxa"/>
            <w:tcBorders>
              <w:top w:val="single" w:color="auto" w:sz="4" w:space="0"/>
              <w:left w:val="single" w:color="auto" w:sz="4" w:space="0"/>
              <w:bottom w:val="single" w:color="auto" w:sz="4" w:space="0"/>
              <w:right w:val="single" w:color="auto" w:sz="4" w:space="0"/>
            </w:tcBorders>
          </w:tcPr>
          <w:p w14:paraId="3BCB266C">
            <w:pPr>
              <w:widowControl/>
              <w:spacing w:line="360" w:lineRule="auto"/>
              <w:jc w:val="center"/>
              <w:rPr>
                <w:rFonts w:eastAsia="楷体_GB2312"/>
                <w:sz w:val="24"/>
              </w:rPr>
            </w:pPr>
          </w:p>
        </w:tc>
        <w:tc>
          <w:tcPr>
            <w:tcW w:w="1559" w:type="dxa"/>
            <w:tcBorders>
              <w:top w:val="single" w:color="auto" w:sz="4" w:space="0"/>
              <w:left w:val="single" w:color="auto" w:sz="4" w:space="0"/>
              <w:bottom w:val="single" w:color="auto" w:sz="4" w:space="0"/>
              <w:right w:val="single" w:color="auto" w:sz="4" w:space="0"/>
            </w:tcBorders>
          </w:tcPr>
          <w:p w14:paraId="7B8DCA08">
            <w:pPr>
              <w:widowControl/>
              <w:spacing w:line="360" w:lineRule="auto"/>
              <w:jc w:val="center"/>
              <w:rPr>
                <w:rFonts w:eastAsia="楷体_GB2312"/>
              </w:rPr>
            </w:pPr>
          </w:p>
        </w:tc>
      </w:tr>
      <w:tr w14:paraId="7AC3C3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217" w:type="dxa"/>
            <w:gridSpan w:val="5"/>
            <w:tcBorders>
              <w:top w:val="single" w:color="auto" w:sz="4" w:space="0"/>
              <w:left w:val="single" w:color="auto" w:sz="4" w:space="0"/>
              <w:bottom w:val="single" w:color="auto" w:sz="4" w:space="0"/>
              <w:right w:val="single" w:color="auto" w:sz="4" w:space="0"/>
            </w:tcBorders>
          </w:tcPr>
          <w:p w14:paraId="724C78D0">
            <w:pPr>
              <w:widowControl/>
              <w:spacing w:line="360" w:lineRule="auto"/>
              <w:jc w:val="left"/>
              <w:rPr>
                <w:rFonts w:eastAsia="楷体_GB2312"/>
                <w:bCs/>
                <w:szCs w:val="21"/>
              </w:rPr>
            </w:pPr>
            <w:r>
              <w:rPr>
                <w:rFonts w:eastAsia="楷体_GB2312"/>
                <w:bCs/>
                <w:szCs w:val="21"/>
              </w:rPr>
              <w:t>（二）本期新增违约贷款情况</w:t>
            </w:r>
          </w:p>
        </w:tc>
      </w:tr>
      <w:tr w14:paraId="46A930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vMerge w:val="restart"/>
            <w:tcBorders>
              <w:top w:val="single" w:color="auto" w:sz="4" w:space="0"/>
              <w:left w:val="single" w:color="auto" w:sz="4" w:space="0"/>
              <w:bottom w:val="single" w:color="auto" w:sz="4" w:space="0"/>
              <w:right w:val="single" w:color="auto" w:sz="4" w:space="0"/>
            </w:tcBorders>
          </w:tcPr>
          <w:p w14:paraId="43372827">
            <w:pPr>
              <w:widowControl/>
              <w:spacing w:line="360" w:lineRule="auto"/>
              <w:jc w:val="left"/>
              <w:rPr>
                <w:rFonts w:eastAsia="楷体_GB2312"/>
                <w:sz w:val="18"/>
              </w:rPr>
            </w:pPr>
          </w:p>
        </w:tc>
        <w:tc>
          <w:tcPr>
            <w:tcW w:w="2862" w:type="dxa"/>
            <w:gridSpan w:val="2"/>
            <w:tcBorders>
              <w:top w:val="single" w:color="auto" w:sz="4" w:space="0"/>
              <w:left w:val="single" w:color="auto" w:sz="4" w:space="0"/>
              <w:bottom w:val="single" w:color="auto" w:sz="4" w:space="0"/>
              <w:right w:val="single" w:color="auto" w:sz="4" w:space="0"/>
            </w:tcBorders>
          </w:tcPr>
          <w:p w14:paraId="360C4BB1">
            <w:pPr>
              <w:widowControl/>
              <w:spacing w:line="360" w:lineRule="auto"/>
              <w:jc w:val="center"/>
              <w:rPr>
                <w:rFonts w:eastAsia="楷体_GB2312"/>
                <w:b/>
                <w:sz w:val="18"/>
                <w:lang w:eastAsia="zh-TW"/>
              </w:rPr>
            </w:pPr>
            <w:r>
              <w:rPr>
                <w:rFonts w:eastAsia="楷体_GB2312"/>
                <w:b/>
                <w:sz w:val="18"/>
                <w:szCs w:val="18"/>
                <w:lang w:eastAsia="zh-TW"/>
              </w:rPr>
              <w:t>本期</w:t>
            </w:r>
          </w:p>
        </w:tc>
        <w:tc>
          <w:tcPr>
            <w:tcW w:w="3119" w:type="dxa"/>
            <w:gridSpan w:val="2"/>
            <w:tcBorders>
              <w:top w:val="single" w:color="auto" w:sz="4" w:space="0"/>
              <w:left w:val="single" w:color="auto" w:sz="4" w:space="0"/>
              <w:bottom w:val="single" w:color="auto" w:sz="4" w:space="0"/>
              <w:right w:val="single" w:color="auto" w:sz="4" w:space="0"/>
            </w:tcBorders>
          </w:tcPr>
          <w:p w14:paraId="10C091E1">
            <w:pPr>
              <w:widowControl/>
              <w:spacing w:line="360" w:lineRule="auto"/>
              <w:jc w:val="center"/>
              <w:rPr>
                <w:rFonts w:eastAsia="楷体_GB2312"/>
                <w:b/>
                <w:sz w:val="18"/>
                <w:lang w:eastAsia="zh-TW"/>
              </w:rPr>
            </w:pPr>
            <w:r>
              <w:rPr>
                <w:rFonts w:eastAsia="楷体_GB2312"/>
                <w:b/>
                <w:sz w:val="18"/>
                <w:szCs w:val="18"/>
                <w:lang w:eastAsia="zh-TW"/>
              </w:rPr>
              <w:t>上一期</w:t>
            </w:r>
          </w:p>
        </w:tc>
      </w:tr>
      <w:tr w14:paraId="1B02C7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vMerge w:val="continue"/>
            <w:tcBorders>
              <w:top w:val="single" w:color="auto" w:sz="4" w:space="0"/>
              <w:left w:val="single" w:color="auto" w:sz="4" w:space="0"/>
              <w:bottom w:val="single" w:color="auto" w:sz="4" w:space="0"/>
              <w:right w:val="single" w:color="auto" w:sz="4" w:space="0"/>
            </w:tcBorders>
            <w:vAlign w:val="center"/>
          </w:tcPr>
          <w:p w14:paraId="63BBDD7D">
            <w:pPr>
              <w:widowControl/>
              <w:jc w:val="left"/>
              <w:rPr>
                <w:rFonts w:eastAsia="楷体_GB2312"/>
                <w:sz w:val="18"/>
                <w:lang w:eastAsia="zh-TW"/>
              </w:rPr>
            </w:pPr>
          </w:p>
        </w:tc>
        <w:tc>
          <w:tcPr>
            <w:tcW w:w="1445" w:type="dxa"/>
            <w:tcBorders>
              <w:top w:val="single" w:color="auto" w:sz="4" w:space="0"/>
              <w:left w:val="single" w:color="auto" w:sz="4" w:space="0"/>
              <w:bottom w:val="single" w:color="auto" w:sz="4" w:space="0"/>
              <w:right w:val="single" w:color="auto" w:sz="4" w:space="0"/>
            </w:tcBorders>
          </w:tcPr>
          <w:p w14:paraId="392D036A">
            <w:pPr>
              <w:widowControl/>
              <w:spacing w:line="360" w:lineRule="auto"/>
              <w:jc w:val="center"/>
              <w:rPr>
                <w:rFonts w:eastAsia="楷体_GB2312"/>
                <w:b/>
                <w:sz w:val="18"/>
                <w:lang w:eastAsia="zh-TW"/>
              </w:rPr>
            </w:pPr>
            <w:r>
              <w:rPr>
                <w:rFonts w:eastAsia="楷体_GB2312"/>
                <w:b/>
                <w:sz w:val="18"/>
                <w:szCs w:val="18"/>
                <w:lang w:eastAsia="zh-TW"/>
              </w:rPr>
              <w:t>笔数</w:t>
            </w:r>
          </w:p>
        </w:tc>
        <w:tc>
          <w:tcPr>
            <w:tcW w:w="1417" w:type="dxa"/>
            <w:tcBorders>
              <w:top w:val="single" w:color="auto" w:sz="4" w:space="0"/>
              <w:left w:val="single" w:color="auto" w:sz="4" w:space="0"/>
              <w:bottom w:val="single" w:color="auto" w:sz="4" w:space="0"/>
              <w:right w:val="single" w:color="auto" w:sz="4" w:space="0"/>
            </w:tcBorders>
          </w:tcPr>
          <w:p w14:paraId="0EE8CEC8">
            <w:pPr>
              <w:widowControl/>
              <w:spacing w:line="360" w:lineRule="auto"/>
              <w:jc w:val="center"/>
              <w:rPr>
                <w:rFonts w:eastAsia="楷体_GB2312"/>
                <w:b/>
                <w:sz w:val="18"/>
              </w:rPr>
            </w:pPr>
            <w:r>
              <w:rPr>
                <w:rFonts w:eastAsia="楷体_GB2312"/>
                <w:b/>
                <w:sz w:val="18"/>
                <w:szCs w:val="18"/>
                <w:lang w:eastAsia="zh-TW"/>
              </w:rPr>
              <w:t>金额</w:t>
            </w:r>
          </w:p>
        </w:tc>
        <w:tc>
          <w:tcPr>
            <w:tcW w:w="1560" w:type="dxa"/>
            <w:tcBorders>
              <w:top w:val="single" w:color="auto" w:sz="4" w:space="0"/>
              <w:left w:val="single" w:color="auto" w:sz="4" w:space="0"/>
              <w:bottom w:val="single" w:color="auto" w:sz="4" w:space="0"/>
              <w:right w:val="single" w:color="auto" w:sz="4" w:space="0"/>
            </w:tcBorders>
          </w:tcPr>
          <w:p w14:paraId="145176E5">
            <w:pPr>
              <w:widowControl/>
              <w:spacing w:line="360" w:lineRule="auto"/>
              <w:jc w:val="center"/>
              <w:rPr>
                <w:rFonts w:eastAsia="楷体_GB2312"/>
                <w:b/>
                <w:sz w:val="18"/>
              </w:rPr>
            </w:pPr>
            <w:r>
              <w:rPr>
                <w:rFonts w:eastAsia="楷体_GB2312"/>
                <w:b/>
                <w:sz w:val="18"/>
                <w:szCs w:val="18"/>
                <w:lang w:eastAsia="zh-TW"/>
              </w:rPr>
              <w:t>笔数</w:t>
            </w:r>
          </w:p>
        </w:tc>
        <w:tc>
          <w:tcPr>
            <w:tcW w:w="1559" w:type="dxa"/>
            <w:tcBorders>
              <w:top w:val="single" w:color="auto" w:sz="4" w:space="0"/>
              <w:left w:val="single" w:color="auto" w:sz="4" w:space="0"/>
              <w:bottom w:val="single" w:color="auto" w:sz="4" w:space="0"/>
              <w:right w:val="single" w:color="auto" w:sz="4" w:space="0"/>
            </w:tcBorders>
          </w:tcPr>
          <w:p w14:paraId="144AF76D">
            <w:pPr>
              <w:widowControl/>
              <w:spacing w:line="360" w:lineRule="auto"/>
              <w:jc w:val="center"/>
              <w:rPr>
                <w:rFonts w:eastAsia="楷体_GB2312"/>
                <w:b/>
                <w:sz w:val="18"/>
              </w:rPr>
            </w:pPr>
            <w:r>
              <w:rPr>
                <w:rFonts w:eastAsia="楷体_GB2312"/>
                <w:b/>
                <w:sz w:val="18"/>
                <w:szCs w:val="18"/>
                <w:lang w:eastAsia="zh-TW"/>
              </w:rPr>
              <w:t>金额</w:t>
            </w:r>
          </w:p>
        </w:tc>
      </w:tr>
      <w:tr w14:paraId="107DA6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54BE57D9">
            <w:pPr>
              <w:widowControl/>
              <w:spacing w:line="360" w:lineRule="auto"/>
              <w:rPr>
                <w:rFonts w:eastAsia="楷体_GB2312"/>
                <w:sz w:val="18"/>
                <w:szCs w:val="18"/>
              </w:rPr>
            </w:pPr>
            <w:r>
              <w:rPr>
                <w:rFonts w:eastAsia="楷体_GB2312"/>
                <w:sz w:val="18"/>
                <w:szCs w:val="18"/>
              </w:rPr>
              <w:t>新增拖欠超过90</w:t>
            </w:r>
            <w:r>
              <w:rPr>
                <w:rFonts w:eastAsia="楷体_GB2312"/>
                <w:szCs w:val="21"/>
              </w:rPr>
              <w:t>日</w:t>
            </w:r>
            <w:r>
              <w:rPr>
                <w:rFonts w:eastAsia="楷体_GB2312"/>
                <w:sz w:val="18"/>
                <w:szCs w:val="18"/>
              </w:rPr>
              <w:t>（不含90</w:t>
            </w:r>
            <w:r>
              <w:rPr>
                <w:rFonts w:eastAsia="楷体_GB2312"/>
                <w:szCs w:val="21"/>
              </w:rPr>
              <w:t>日</w:t>
            </w:r>
            <w:r>
              <w:rPr>
                <w:rFonts w:eastAsia="楷体_GB2312"/>
                <w:sz w:val="18"/>
                <w:szCs w:val="18"/>
              </w:rPr>
              <w:t>）的贷款</w:t>
            </w:r>
          </w:p>
        </w:tc>
        <w:tc>
          <w:tcPr>
            <w:tcW w:w="1445" w:type="dxa"/>
            <w:tcBorders>
              <w:top w:val="single" w:color="auto" w:sz="4" w:space="0"/>
              <w:left w:val="single" w:color="auto" w:sz="4" w:space="0"/>
              <w:bottom w:val="single" w:color="auto" w:sz="4" w:space="0"/>
              <w:right w:val="single" w:color="auto" w:sz="4" w:space="0"/>
            </w:tcBorders>
          </w:tcPr>
          <w:p w14:paraId="253D091C">
            <w:pPr>
              <w:widowControl/>
              <w:spacing w:line="360" w:lineRule="auto"/>
              <w:jc w:val="center"/>
              <w:rPr>
                <w:rFonts w:eastAsia="楷体_GB2312"/>
                <w:sz w:val="24"/>
              </w:rPr>
            </w:pPr>
          </w:p>
        </w:tc>
        <w:tc>
          <w:tcPr>
            <w:tcW w:w="1417" w:type="dxa"/>
            <w:tcBorders>
              <w:top w:val="single" w:color="auto" w:sz="4" w:space="0"/>
              <w:left w:val="single" w:color="auto" w:sz="4" w:space="0"/>
              <w:bottom w:val="single" w:color="auto" w:sz="4" w:space="0"/>
              <w:right w:val="single" w:color="auto" w:sz="4" w:space="0"/>
            </w:tcBorders>
          </w:tcPr>
          <w:p w14:paraId="31933284">
            <w:pPr>
              <w:widowControl/>
              <w:spacing w:line="360" w:lineRule="auto"/>
              <w:jc w:val="center"/>
              <w:rPr>
                <w:rFonts w:eastAsia="楷体_GB2312"/>
                <w:sz w:val="24"/>
              </w:rPr>
            </w:pPr>
          </w:p>
        </w:tc>
        <w:tc>
          <w:tcPr>
            <w:tcW w:w="1560" w:type="dxa"/>
            <w:tcBorders>
              <w:top w:val="single" w:color="auto" w:sz="4" w:space="0"/>
              <w:left w:val="single" w:color="auto" w:sz="4" w:space="0"/>
              <w:bottom w:val="single" w:color="auto" w:sz="4" w:space="0"/>
              <w:right w:val="single" w:color="auto" w:sz="4" w:space="0"/>
            </w:tcBorders>
          </w:tcPr>
          <w:p w14:paraId="7705C665">
            <w:pPr>
              <w:widowControl/>
              <w:spacing w:line="360" w:lineRule="auto"/>
              <w:jc w:val="center"/>
              <w:rPr>
                <w:rFonts w:eastAsia="楷体_GB2312"/>
                <w:sz w:val="24"/>
              </w:rPr>
            </w:pPr>
          </w:p>
        </w:tc>
        <w:tc>
          <w:tcPr>
            <w:tcW w:w="1559" w:type="dxa"/>
            <w:tcBorders>
              <w:top w:val="single" w:color="auto" w:sz="4" w:space="0"/>
              <w:left w:val="single" w:color="auto" w:sz="4" w:space="0"/>
              <w:bottom w:val="single" w:color="auto" w:sz="4" w:space="0"/>
              <w:right w:val="single" w:color="auto" w:sz="4" w:space="0"/>
            </w:tcBorders>
          </w:tcPr>
          <w:p w14:paraId="339905BB">
            <w:pPr>
              <w:widowControl/>
              <w:spacing w:line="360" w:lineRule="auto"/>
              <w:jc w:val="center"/>
              <w:rPr>
                <w:rFonts w:eastAsia="楷体_GB2312"/>
                <w:sz w:val="24"/>
              </w:rPr>
            </w:pPr>
          </w:p>
        </w:tc>
      </w:tr>
      <w:tr w14:paraId="373F15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F60FFB5">
            <w:pPr>
              <w:widowControl/>
              <w:spacing w:line="360" w:lineRule="auto"/>
              <w:rPr>
                <w:rFonts w:eastAsia="楷体_GB2312"/>
                <w:sz w:val="18"/>
              </w:rPr>
            </w:pPr>
            <w:r>
              <w:rPr>
                <w:rFonts w:eastAsia="楷体_GB2312"/>
                <w:sz w:val="18"/>
                <w:szCs w:val="18"/>
              </w:rPr>
              <w:t>为避免“贷款”拖欠或违约，予以重组或展期的贷款（但根据“《服务合同》”第【】款约定予以延期的“贷款”除外）</w:t>
            </w:r>
          </w:p>
        </w:tc>
        <w:tc>
          <w:tcPr>
            <w:tcW w:w="1445" w:type="dxa"/>
            <w:tcBorders>
              <w:top w:val="single" w:color="auto" w:sz="4" w:space="0"/>
              <w:left w:val="single" w:color="auto" w:sz="4" w:space="0"/>
              <w:bottom w:val="single" w:color="auto" w:sz="4" w:space="0"/>
              <w:right w:val="single" w:color="auto" w:sz="4" w:space="0"/>
            </w:tcBorders>
          </w:tcPr>
          <w:p w14:paraId="073E9DA5">
            <w:pPr>
              <w:widowControl/>
              <w:spacing w:line="360" w:lineRule="auto"/>
              <w:jc w:val="center"/>
              <w:rPr>
                <w:rFonts w:eastAsia="楷体_GB2312"/>
                <w:sz w:val="24"/>
              </w:rPr>
            </w:pPr>
          </w:p>
        </w:tc>
        <w:tc>
          <w:tcPr>
            <w:tcW w:w="1417" w:type="dxa"/>
            <w:tcBorders>
              <w:top w:val="single" w:color="auto" w:sz="4" w:space="0"/>
              <w:left w:val="single" w:color="auto" w:sz="4" w:space="0"/>
              <w:bottom w:val="single" w:color="auto" w:sz="4" w:space="0"/>
              <w:right w:val="single" w:color="auto" w:sz="4" w:space="0"/>
            </w:tcBorders>
          </w:tcPr>
          <w:p w14:paraId="08328315">
            <w:pPr>
              <w:widowControl/>
              <w:spacing w:line="360" w:lineRule="auto"/>
              <w:jc w:val="center"/>
              <w:rPr>
                <w:rFonts w:eastAsia="楷体_GB2312"/>
                <w:sz w:val="24"/>
              </w:rPr>
            </w:pPr>
          </w:p>
        </w:tc>
        <w:tc>
          <w:tcPr>
            <w:tcW w:w="1560" w:type="dxa"/>
            <w:tcBorders>
              <w:top w:val="single" w:color="auto" w:sz="4" w:space="0"/>
              <w:left w:val="single" w:color="auto" w:sz="4" w:space="0"/>
              <w:bottom w:val="single" w:color="auto" w:sz="4" w:space="0"/>
              <w:right w:val="single" w:color="auto" w:sz="4" w:space="0"/>
            </w:tcBorders>
          </w:tcPr>
          <w:p w14:paraId="14DB82B1">
            <w:pPr>
              <w:widowControl/>
              <w:spacing w:line="360" w:lineRule="auto"/>
              <w:jc w:val="center"/>
              <w:rPr>
                <w:rFonts w:eastAsia="楷体_GB2312"/>
                <w:sz w:val="24"/>
              </w:rPr>
            </w:pPr>
          </w:p>
        </w:tc>
        <w:tc>
          <w:tcPr>
            <w:tcW w:w="1559" w:type="dxa"/>
            <w:tcBorders>
              <w:top w:val="single" w:color="auto" w:sz="4" w:space="0"/>
              <w:left w:val="single" w:color="auto" w:sz="4" w:space="0"/>
              <w:bottom w:val="single" w:color="auto" w:sz="4" w:space="0"/>
              <w:right w:val="single" w:color="auto" w:sz="4" w:space="0"/>
            </w:tcBorders>
          </w:tcPr>
          <w:p w14:paraId="44316D68">
            <w:pPr>
              <w:widowControl/>
              <w:spacing w:line="360" w:lineRule="auto"/>
              <w:jc w:val="center"/>
              <w:rPr>
                <w:rFonts w:eastAsia="楷体_GB2312"/>
                <w:sz w:val="24"/>
              </w:rPr>
            </w:pPr>
          </w:p>
        </w:tc>
      </w:tr>
      <w:tr w14:paraId="67919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0A3A366B">
            <w:pPr>
              <w:widowControl/>
              <w:spacing w:line="360" w:lineRule="auto"/>
              <w:rPr>
                <w:rFonts w:eastAsia="楷体_GB2312"/>
                <w:sz w:val="18"/>
              </w:rPr>
            </w:pPr>
            <w:r>
              <w:rPr>
                <w:rFonts w:eastAsia="楷体_GB2312"/>
                <w:sz w:val="18"/>
                <w:szCs w:val="18"/>
              </w:rPr>
              <w:t>除以上二项外，“贷款服务机构”根据其内部标准管理程序认定为损失类的贷款</w:t>
            </w:r>
          </w:p>
        </w:tc>
        <w:tc>
          <w:tcPr>
            <w:tcW w:w="1445" w:type="dxa"/>
            <w:tcBorders>
              <w:top w:val="single" w:color="auto" w:sz="4" w:space="0"/>
              <w:left w:val="single" w:color="auto" w:sz="4" w:space="0"/>
              <w:bottom w:val="single" w:color="auto" w:sz="4" w:space="0"/>
              <w:right w:val="single" w:color="auto" w:sz="4" w:space="0"/>
            </w:tcBorders>
          </w:tcPr>
          <w:p w14:paraId="76465540">
            <w:pPr>
              <w:widowControl/>
              <w:spacing w:line="360" w:lineRule="auto"/>
              <w:jc w:val="center"/>
              <w:rPr>
                <w:rFonts w:eastAsia="楷体_GB2312"/>
              </w:rPr>
            </w:pPr>
          </w:p>
        </w:tc>
        <w:tc>
          <w:tcPr>
            <w:tcW w:w="1417" w:type="dxa"/>
            <w:tcBorders>
              <w:top w:val="single" w:color="auto" w:sz="4" w:space="0"/>
              <w:left w:val="single" w:color="auto" w:sz="4" w:space="0"/>
              <w:bottom w:val="single" w:color="auto" w:sz="4" w:space="0"/>
              <w:right w:val="single" w:color="auto" w:sz="4" w:space="0"/>
            </w:tcBorders>
          </w:tcPr>
          <w:p w14:paraId="034162CD">
            <w:pPr>
              <w:widowControl/>
              <w:spacing w:line="360" w:lineRule="auto"/>
              <w:jc w:val="center"/>
              <w:rPr>
                <w:rFonts w:eastAsia="楷体_GB2312"/>
              </w:rPr>
            </w:pPr>
          </w:p>
        </w:tc>
        <w:tc>
          <w:tcPr>
            <w:tcW w:w="1560" w:type="dxa"/>
            <w:tcBorders>
              <w:top w:val="single" w:color="auto" w:sz="4" w:space="0"/>
              <w:left w:val="single" w:color="auto" w:sz="4" w:space="0"/>
              <w:bottom w:val="single" w:color="auto" w:sz="4" w:space="0"/>
              <w:right w:val="single" w:color="auto" w:sz="4" w:space="0"/>
            </w:tcBorders>
          </w:tcPr>
          <w:p w14:paraId="7E781156">
            <w:pPr>
              <w:widowControl/>
              <w:spacing w:line="360" w:lineRule="auto"/>
              <w:jc w:val="center"/>
              <w:rPr>
                <w:rFonts w:eastAsia="楷体_GB2312"/>
              </w:rPr>
            </w:pPr>
          </w:p>
        </w:tc>
        <w:tc>
          <w:tcPr>
            <w:tcW w:w="1559" w:type="dxa"/>
            <w:tcBorders>
              <w:top w:val="single" w:color="auto" w:sz="4" w:space="0"/>
              <w:left w:val="single" w:color="auto" w:sz="4" w:space="0"/>
              <w:bottom w:val="single" w:color="auto" w:sz="4" w:space="0"/>
              <w:right w:val="single" w:color="auto" w:sz="4" w:space="0"/>
            </w:tcBorders>
          </w:tcPr>
          <w:p w14:paraId="5F3DF94B">
            <w:pPr>
              <w:widowControl/>
              <w:spacing w:line="360" w:lineRule="auto"/>
              <w:jc w:val="center"/>
              <w:rPr>
                <w:rFonts w:eastAsia="楷体_GB2312"/>
              </w:rPr>
            </w:pPr>
          </w:p>
        </w:tc>
      </w:tr>
      <w:tr w14:paraId="46CD35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5" w:hRule="atLeast"/>
        </w:trPr>
        <w:tc>
          <w:tcPr>
            <w:tcW w:w="8217" w:type="dxa"/>
            <w:gridSpan w:val="5"/>
            <w:tcBorders>
              <w:top w:val="single" w:color="auto" w:sz="4" w:space="0"/>
              <w:left w:val="single" w:color="auto" w:sz="4" w:space="0"/>
              <w:bottom w:val="single" w:color="auto" w:sz="4" w:space="0"/>
              <w:right w:val="single" w:color="auto" w:sz="4" w:space="0"/>
            </w:tcBorders>
          </w:tcPr>
          <w:p w14:paraId="57392855">
            <w:pPr>
              <w:widowControl/>
              <w:spacing w:line="360" w:lineRule="auto"/>
              <w:jc w:val="left"/>
              <w:rPr>
                <w:rFonts w:eastAsia="楷体_GB2312"/>
                <w:bCs/>
                <w:szCs w:val="21"/>
              </w:rPr>
            </w:pPr>
            <w:r>
              <w:rPr>
                <w:rFonts w:eastAsia="楷体_GB2312"/>
                <w:bCs/>
                <w:szCs w:val="21"/>
              </w:rPr>
              <w:t>（三）违约贷款处置情况</w:t>
            </w:r>
          </w:p>
        </w:tc>
      </w:tr>
      <w:tr w14:paraId="7D0CB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498A2333">
            <w:pPr>
              <w:widowControl/>
              <w:spacing w:line="360" w:lineRule="auto"/>
              <w:jc w:val="center"/>
              <w:rPr>
                <w:rFonts w:eastAsia="楷体_GB2312"/>
                <w:b/>
                <w:szCs w:val="21"/>
                <w:lang w:eastAsia="zh-TW"/>
              </w:rPr>
            </w:pPr>
            <w:r>
              <w:rPr>
                <w:rFonts w:eastAsia="楷体_GB2312"/>
                <w:b/>
                <w:szCs w:val="21"/>
                <w:lang w:eastAsia="zh-TW"/>
              </w:rPr>
              <w:t>处置状态</w:t>
            </w:r>
          </w:p>
        </w:tc>
        <w:tc>
          <w:tcPr>
            <w:tcW w:w="1445" w:type="dxa"/>
            <w:tcBorders>
              <w:top w:val="single" w:color="auto" w:sz="4" w:space="0"/>
              <w:left w:val="single" w:color="auto" w:sz="4" w:space="0"/>
              <w:bottom w:val="single" w:color="auto" w:sz="4" w:space="0"/>
              <w:right w:val="single" w:color="auto" w:sz="4" w:space="0"/>
            </w:tcBorders>
          </w:tcPr>
          <w:p w14:paraId="5375421A">
            <w:pPr>
              <w:widowControl/>
              <w:spacing w:line="360" w:lineRule="auto"/>
              <w:jc w:val="center"/>
              <w:rPr>
                <w:rFonts w:eastAsia="楷体_GB2312"/>
                <w:b/>
                <w:szCs w:val="21"/>
                <w:lang w:eastAsia="zh-TW"/>
              </w:rPr>
            </w:pPr>
            <w:r>
              <w:rPr>
                <w:rFonts w:eastAsia="楷体_GB2312"/>
                <w:b/>
                <w:szCs w:val="21"/>
                <w:lang w:eastAsia="zh-TW"/>
              </w:rPr>
              <w:t>贷款笔数</w:t>
            </w:r>
          </w:p>
        </w:tc>
        <w:tc>
          <w:tcPr>
            <w:tcW w:w="1417" w:type="dxa"/>
            <w:tcBorders>
              <w:top w:val="single" w:color="auto" w:sz="4" w:space="0"/>
              <w:left w:val="single" w:color="auto" w:sz="4" w:space="0"/>
              <w:bottom w:val="single" w:color="auto" w:sz="4" w:space="0"/>
              <w:right w:val="single" w:color="auto" w:sz="4" w:space="0"/>
            </w:tcBorders>
          </w:tcPr>
          <w:p w14:paraId="5475D2D5">
            <w:pPr>
              <w:widowControl/>
              <w:spacing w:line="360" w:lineRule="auto"/>
              <w:jc w:val="center"/>
              <w:rPr>
                <w:rFonts w:eastAsia="楷体_GB2312"/>
                <w:b/>
                <w:szCs w:val="21"/>
              </w:rPr>
            </w:pPr>
            <w:r>
              <w:rPr>
                <w:rFonts w:eastAsia="楷体_GB2312"/>
                <w:b/>
                <w:szCs w:val="21"/>
              </w:rPr>
              <w:t>占初始期算日笔数占比（%）</w:t>
            </w:r>
          </w:p>
        </w:tc>
        <w:tc>
          <w:tcPr>
            <w:tcW w:w="1560" w:type="dxa"/>
            <w:tcBorders>
              <w:top w:val="single" w:color="auto" w:sz="4" w:space="0"/>
              <w:left w:val="single" w:color="auto" w:sz="4" w:space="0"/>
              <w:bottom w:val="single" w:color="auto" w:sz="4" w:space="0"/>
              <w:right w:val="single" w:color="auto" w:sz="4" w:space="0"/>
            </w:tcBorders>
          </w:tcPr>
          <w:p w14:paraId="47262B17">
            <w:pPr>
              <w:widowControl/>
              <w:spacing w:line="360" w:lineRule="auto"/>
              <w:jc w:val="center"/>
              <w:rPr>
                <w:rFonts w:eastAsia="楷体_GB2312"/>
                <w:b/>
                <w:szCs w:val="21"/>
                <w:lang w:eastAsia="zh-TW"/>
              </w:rPr>
            </w:pPr>
            <w:r>
              <w:rPr>
                <w:rFonts w:eastAsia="楷体_GB2312"/>
                <w:b/>
                <w:szCs w:val="21"/>
                <w:lang w:eastAsia="zh-TW"/>
              </w:rPr>
              <w:t>贷款金额</w:t>
            </w:r>
          </w:p>
        </w:tc>
        <w:tc>
          <w:tcPr>
            <w:tcW w:w="1559" w:type="dxa"/>
            <w:tcBorders>
              <w:top w:val="single" w:color="auto" w:sz="4" w:space="0"/>
              <w:left w:val="single" w:color="auto" w:sz="4" w:space="0"/>
              <w:bottom w:val="single" w:color="auto" w:sz="4" w:space="0"/>
              <w:right w:val="single" w:color="auto" w:sz="4" w:space="0"/>
            </w:tcBorders>
          </w:tcPr>
          <w:p w14:paraId="1E4FF8E9">
            <w:pPr>
              <w:widowControl/>
              <w:spacing w:line="360" w:lineRule="auto"/>
              <w:jc w:val="center"/>
              <w:rPr>
                <w:rFonts w:eastAsia="楷体_GB2312"/>
                <w:b/>
                <w:szCs w:val="21"/>
              </w:rPr>
            </w:pPr>
            <w:r>
              <w:rPr>
                <w:rFonts w:eastAsia="楷体_GB2312"/>
                <w:b/>
                <w:szCs w:val="21"/>
              </w:rPr>
              <w:t>占初始期算日金额占比（%）</w:t>
            </w:r>
          </w:p>
        </w:tc>
      </w:tr>
      <w:tr w14:paraId="34DD1D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6BDBD31F">
            <w:pPr>
              <w:widowControl/>
              <w:spacing w:line="360" w:lineRule="auto"/>
              <w:jc w:val="left"/>
              <w:rPr>
                <w:rFonts w:eastAsia="楷体_GB2312"/>
                <w:sz w:val="18"/>
              </w:rPr>
            </w:pPr>
            <w:r>
              <w:rPr>
                <w:rFonts w:eastAsia="楷体_GB2312"/>
                <w:sz w:val="18"/>
              </w:rPr>
              <w:t>非诉讼类处置</w:t>
            </w:r>
          </w:p>
        </w:tc>
        <w:tc>
          <w:tcPr>
            <w:tcW w:w="1445" w:type="dxa"/>
            <w:tcBorders>
              <w:top w:val="single" w:color="auto" w:sz="4" w:space="0"/>
              <w:left w:val="single" w:color="auto" w:sz="4" w:space="0"/>
              <w:bottom w:val="single" w:color="auto" w:sz="4" w:space="0"/>
              <w:right w:val="single" w:color="auto" w:sz="4" w:space="0"/>
            </w:tcBorders>
          </w:tcPr>
          <w:p w14:paraId="6B3F38AE">
            <w:pPr>
              <w:widowControl/>
              <w:spacing w:line="360" w:lineRule="auto"/>
              <w:jc w:val="center"/>
              <w:rPr>
                <w:rFonts w:eastAsia="楷体_GB2312"/>
                <w:b/>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736E651E">
            <w:pPr>
              <w:widowControl/>
              <w:spacing w:line="360" w:lineRule="auto"/>
              <w:jc w:val="center"/>
              <w:rPr>
                <w:rFonts w:eastAsia="楷体_GB2312"/>
                <w:b/>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6D2A1E1E">
            <w:pPr>
              <w:widowControl/>
              <w:spacing w:line="360" w:lineRule="auto"/>
              <w:jc w:val="center"/>
              <w:rPr>
                <w:rFonts w:eastAsia="楷体_GB2312"/>
                <w:b/>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03D2463C">
            <w:pPr>
              <w:widowControl/>
              <w:spacing w:line="360" w:lineRule="auto"/>
              <w:jc w:val="center"/>
              <w:rPr>
                <w:rFonts w:eastAsia="楷体_GB2312"/>
                <w:b/>
                <w:sz w:val="24"/>
                <w:lang w:eastAsia="zh-TW"/>
              </w:rPr>
            </w:pPr>
          </w:p>
        </w:tc>
      </w:tr>
      <w:tr w14:paraId="7C3FF2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21C09535">
            <w:pPr>
              <w:widowControl/>
              <w:spacing w:line="360" w:lineRule="auto"/>
              <w:jc w:val="left"/>
              <w:rPr>
                <w:rFonts w:eastAsia="楷体_GB2312"/>
                <w:sz w:val="18"/>
              </w:rPr>
            </w:pPr>
            <w:r>
              <w:rPr>
                <w:rFonts w:eastAsia="楷体_GB2312"/>
                <w:sz w:val="18"/>
              </w:rPr>
              <w:t>诉讼类处置</w:t>
            </w:r>
          </w:p>
        </w:tc>
        <w:tc>
          <w:tcPr>
            <w:tcW w:w="1445" w:type="dxa"/>
            <w:tcBorders>
              <w:top w:val="single" w:color="auto" w:sz="4" w:space="0"/>
              <w:left w:val="single" w:color="auto" w:sz="4" w:space="0"/>
              <w:bottom w:val="single" w:color="auto" w:sz="4" w:space="0"/>
              <w:right w:val="single" w:color="auto" w:sz="4" w:space="0"/>
            </w:tcBorders>
          </w:tcPr>
          <w:p w14:paraId="7428DB75">
            <w:pPr>
              <w:widowControl/>
              <w:spacing w:line="360" w:lineRule="auto"/>
              <w:jc w:val="center"/>
              <w:rPr>
                <w:rFonts w:eastAsia="楷体_GB2312"/>
                <w:b/>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5E780319">
            <w:pPr>
              <w:widowControl/>
              <w:spacing w:line="360" w:lineRule="auto"/>
              <w:jc w:val="center"/>
              <w:rPr>
                <w:rFonts w:eastAsia="楷体_GB2312"/>
                <w:b/>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3D1BCFFE">
            <w:pPr>
              <w:widowControl/>
              <w:spacing w:line="360" w:lineRule="auto"/>
              <w:jc w:val="center"/>
              <w:rPr>
                <w:rFonts w:eastAsia="楷体_GB2312"/>
                <w:b/>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6F070B0D">
            <w:pPr>
              <w:widowControl/>
              <w:spacing w:line="360" w:lineRule="auto"/>
              <w:jc w:val="center"/>
              <w:rPr>
                <w:rFonts w:eastAsia="楷体_GB2312"/>
                <w:b/>
                <w:sz w:val="24"/>
                <w:lang w:eastAsia="zh-TW"/>
              </w:rPr>
            </w:pPr>
          </w:p>
        </w:tc>
      </w:tr>
      <w:tr w14:paraId="0046D3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C422212">
            <w:pPr>
              <w:widowControl/>
              <w:spacing w:line="360" w:lineRule="auto"/>
              <w:jc w:val="left"/>
              <w:rPr>
                <w:rFonts w:eastAsia="楷体_GB2312"/>
                <w:sz w:val="18"/>
              </w:rPr>
            </w:pPr>
            <w:r>
              <w:rPr>
                <w:rFonts w:eastAsia="楷体_GB2312"/>
                <w:sz w:val="18"/>
              </w:rPr>
              <w:t>（1）进入诉讼准备程序</w:t>
            </w:r>
          </w:p>
        </w:tc>
        <w:tc>
          <w:tcPr>
            <w:tcW w:w="1445" w:type="dxa"/>
            <w:tcBorders>
              <w:top w:val="single" w:color="auto" w:sz="4" w:space="0"/>
              <w:left w:val="single" w:color="auto" w:sz="4" w:space="0"/>
              <w:bottom w:val="single" w:color="auto" w:sz="4" w:space="0"/>
              <w:right w:val="single" w:color="auto" w:sz="4" w:space="0"/>
            </w:tcBorders>
          </w:tcPr>
          <w:p w14:paraId="5021D43F">
            <w:pPr>
              <w:widowControl/>
              <w:spacing w:line="360" w:lineRule="auto"/>
              <w:jc w:val="center"/>
              <w:rPr>
                <w:rFonts w:eastAsia="楷体_GB2312"/>
                <w:b/>
                <w:sz w:val="24"/>
              </w:rPr>
            </w:pPr>
          </w:p>
        </w:tc>
        <w:tc>
          <w:tcPr>
            <w:tcW w:w="1417" w:type="dxa"/>
            <w:tcBorders>
              <w:top w:val="single" w:color="auto" w:sz="4" w:space="0"/>
              <w:left w:val="single" w:color="auto" w:sz="4" w:space="0"/>
              <w:bottom w:val="single" w:color="auto" w:sz="4" w:space="0"/>
              <w:right w:val="single" w:color="auto" w:sz="4" w:space="0"/>
            </w:tcBorders>
          </w:tcPr>
          <w:p w14:paraId="3CD84835">
            <w:pPr>
              <w:widowControl/>
              <w:spacing w:line="360" w:lineRule="auto"/>
              <w:jc w:val="center"/>
              <w:rPr>
                <w:rFonts w:eastAsia="楷体_GB2312"/>
                <w:b/>
                <w:sz w:val="24"/>
              </w:rPr>
            </w:pPr>
          </w:p>
        </w:tc>
        <w:tc>
          <w:tcPr>
            <w:tcW w:w="1560" w:type="dxa"/>
            <w:tcBorders>
              <w:top w:val="single" w:color="auto" w:sz="4" w:space="0"/>
              <w:left w:val="single" w:color="auto" w:sz="4" w:space="0"/>
              <w:bottom w:val="single" w:color="auto" w:sz="4" w:space="0"/>
              <w:right w:val="single" w:color="auto" w:sz="4" w:space="0"/>
            </w:tcBorders>
          </w:tcPr>
          <w:p w14:paraId="5056F27E">
            <w:pPr>
              <w:widowControl/>
              <w:spacing w:line="360" w:lineRule="auto"/>
              <w:jc w:val="center"/>
              <w:rPr>
                <w:rFonts w:eastAsia="楷体_GB2312"/>
                <w:b/>
                <w:sz w:val="24"/>
              </w:rPr>
            </w:pPr>
          </w:p>
        </w:tc>
        <w:tc>
          <w:tcPr>
            <w:tcW w:w="1559" w:type="dxa"/>
            <w:tcBorders>
              <w:top w:val="single" w:color="auto" w:sz="4" w:space="0"/>
              <w:left w:val="single" w:color="auto" w:sz="4" w:space="0"/>
              <w:bottom w:val="single" w:color="auto" w:sz="4" w:space="0"/>
              <w:right w:val="single" w:color="auto" w:sz="4" w:space="0"/>
            </w:tcBorders>
          </w:tcPr>
          <w:p w14:paraId="32A1B26D">
            <w:pPr>
              <w:widowControl/>
              <w:spacing w:line="360" w:lineRule="auto"/>
              <w:jc w:val="center"/>
              <w:rPr>
                <w:rFonts w:eastAsia="楷体_GB2312"/>
                <w:b/>
                <w:sz w:val="24"/>
              </w:rPr>
            </w:pPr>
          </w:p>
        </w:tc>
      </w:tr>
      <w:tr w14:paraId="7382DF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8303973">
            <w:pPr>
              <w:widowControl/>
              <w:spacing w:line="360" w:lineRule="auto"/>
              <w:jc w:val="left"/>
              <w:rPr>
                <w:rFonts w:eastAsia="楷体_GB2312"/>
                <w:sz w:val="18"/>
              </w:rPr>
            </w:pPr>
            <w:r>
              <w:rPr>
                <w:rFonts w:eastAsia="楷体_GB2312"/>
                <w:sz w:val="18"/>
              </w:rPr>
              <w:t>（2）进入法庭受理程序</w:t>
            </w:r>
          </w:p>
        </w:tc>
        <w:tc>
          <w:tcPr>
            <w:tcW w:w="1445" w:type="dxa"/>
            <w:tcBorders>
              <w:top w:val="single" w:color="auto" w:sz="4" w:space="0"/>
              <w:left w:val="single" w:color="auto" w:sz="4" w:space="0"/>
              <w:bottom w:val="single" w:color="auto" w:sz="4" w:space="0"/>
              <w:right w:val="single" w:color="auto" w:sz="4" w:space="0"/>
            </w:tcBorders>
          </w:tcPr>
          <w:p w14:paraId="2D18B258">
            <w:pPr>
              <w:widowControl/>
              <w:spacing w:line="360" w:lineRule="auto"/>
              <w:jc w:val="center"/>
              <w:rPr>
                <w:rFonts w:eastAsia="楷体_GB2312"/>
                <w:b/>
                <w:sz w:val="24"/>
              </w:rPr>
            </w:pPr>
          </w:p>
        </w:tc>
        <w:tc>
          <w:tcPr>
            <w:tcW w:w="1417" w:type="dxa"/>
            <w:tcBorders>
              <w:top w:val="single" w:color="auto" w:sz="4" w:space="0"/>
              <w:left w:val="single" w:color="auto" w:sz="4" w:space="0"/>
              <w:bottom w:val="single" w:color="auto" w:sz="4" w:space="0"/>
              <w:right w:val="single" w:color="auto" w:sz="4" w:space="0"/>
            </w:tcBorders>
          </w:tcPr>
          <w:p w14:paraId="277E995C">
            <w:pPr>
              <w:widowControl/>
              <w:spacing w:line="360" w:lineRule="auto"/>
              <w:jc w:val="center"/>
              <w:rPr>
                <w:rFonts w:eastAsia="楷体_GB2312"/>
                <w:b/>
                <w:sz w:val="24"/>
              </w:rPr>
            </w:pPr>
          </w:p>
        </w:tc>
        <w:tc>
          <w:tcPr>
            <w:tcW w:w="1560" w:type="dxa"/>
            <w:tcBorders>
              <w:top w:val="single" w:color="auto" w:sz="4" w:space="0"/>
              <w:left w:val="single" w:color="auto" w:sz="4" w:space="0"/>
              <w:bottom w:val="single" w:color="auto" w:sz="4" w:space="0"/>
              <w:right w:val="single" w:color="auto" w:sz="4" w:space="0"/>
            </w:tcBorders>
          </w:tcPr>
          <w:p w14:paraId="3ECE2B86">
            <w:pPr>
              <w:widowControl/>
              <w:spacing w:line="360" w:lineRule="auto"/>
              <w:jc w:val="center"/>
              <w:rPr>
                <w:rFonts w:eastAsia="楷体_GB2312"/>
                <w:b/>
                <w:sz w:val="24"/>
              </w:rPr>
            </w:pPr>
          </w:p>
        </w:tc>
        <w:tc>
          <w:tcPr>
            <w:tcW w:w="1559" w:type="dxa"/>
            <w:tcBorders>
              <w:top w:val="single" w:color="auto" w:sz="4" w:space="0"/>
              <w:left w:val="single" w:color="auto" w:sz="4" w:space="0"/>
              <w:bottom w:val="single" w:color="auto" w:sz="4" w:space="0"/>
              <w:right w:val="single" w:color="auto" w:sz="4" w:space="0"/>
            </w:tcBorders>
          </w:tcPr>
          <w:p w14:paraId="06688A00">
            <w:pPr>
              <w:widowControl/>
              <w:spacing w:line="360" w:lineRule="auto"/>
              <w:jc w:val="center"/>
              <w:rPr>
                <w:rFonts w:eastAsia="楷体_GB2312"/>
                <w:b/>
                <w:sz w:val="24"/>
              </w:rPr>
            </w:pPr>
          </w:p>
        </w:tc>
      </w:tr>
      <w:tr w14:paraId="7C5D13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7EB46A6F">
            <w:pPr>
              <w:widowControl/>
              <w:spacing w:line="360" w:lineRule="auto"/>
              <w:jc w:val="left"/>
              <w:rPr>
                <w:rFonts w:eastAsia="楷体_GB2312"/>
                <w:sz w:val="18"/>
              </w:rPr>
            </w:pPr>
            <w:r>
              <w:rPr>
                <w:rFonts w:eastAsia="楷体_GB2312"/>
                <w:sz w:val="18"/>
              </w:rPr>
              <w:t>（3）进入执行拍卖程序</w:t>
            </w:r>
          </w:p>
        </w:tc>
        <w:tc>
          <w:tcPr>
            <w:tcW w:w="1445" w:type="dxa"/>
            <w:tcBorders>
              <w:top w:val="single" w:color="auto" w:sz="4" w:space="0"/>
              <w:left w:val="single" w:color="auto" w:sz="4" w:space="0"/>
              <w:bottom w:val="single" w:color="auto" w:sz="4" w:space="0"/>
              <w:right w:val="single" w:color="auto" w:sz="4" w:space="0"/>
            </w:tcBorders>
          </w:tcPr>
          <w:p w14:paraId="6A642DD1">
            <w:pPr>
              <w:widowControl/>
              <w:spacing w:line="360" w:lineRule="auto"/>
              <w:jc w:val="center"/>
              <w:rPr>
                <w:rFonts w:eastAsia="楷体_GB2312"/>
                <w:b/>
                <w:sz w:val="24"/>
              </w:rPr>
            </w:pPr>
          </w:p>
        </w:tc>
        <w:tc>
          <w:tcPr>
            <w:tcW w:w="1417" w:type="dxa"/>
            <w:tcBorders>
              <w:top w:val="single" w:color="auto" w:sz="4" w:space="0"/>
              <w:left w:val="single" w:color="auto" w:sz="4" w:space="0"/>
              <w:bottom w:val="single" w:color="auto" w:sz="4" w:space="0"/>
              <w:right w:val="single" w:color="auto" w:sz="4" w:space="0"/>
            </w:tcBorders>
          </w:tcPr>
          <w:p w14:paraId="203E90C1">
            <w:pPr>
              <w:widowControl/>
              <w:spacing w:line="360" w:lineRule="auto"/>
              <w:jc w:val="center"/>
              <w:rPr>
                <w:rFonts w:eastAsia="楷体_GB2312"/>
                <w:b/>
                <w:sz w:val="24"/>
              </w:rPr>
            </w:pPr>
          </w:p>
        </w:tc>
        <w:tc>
          <w:tcPr>
            <w:tcW w:w="1560" w:type="dxa"/>
            <w:tcBorders>
              <w:top w:val="single" w:color="auto" w:sz="4" w:space="0"/>
              <w:left w:val="single" w:color="auto" w:sz="4" w:space="0"/>
              <w:bottom w:val="single" w:color="auto" w:sz="4" w:space="0"/>
              <w:right w:val="single" w:color="auto" w:sz="4" w:space="0"/>
            </w:tcBorders>
          </w:tcPr>
          <w:p w14:paraId="1B44102F">
            <w:pPr>
              <w:widowControl/>
              <w:spacing w:line="360" w:lineRule="auto"/>
              <w:jc w:val="center"/>
              <w:rPr>
                <w:rFonts w:eastAsia="楷体_GB2312"/>
                <w:b/>
                <w:sz w:val="24"/>
              </w:rPr>
            </w:pPr>
          </w:p>
        </w:tc>
        <w:tc>
          <w:tcPr>
            <w:tcW w:w="1559" w:type="dxa"/>
            <w:tcBorders>
              <w:top w:val="single" w:color="auto" w:sz="4" w:space="0"/>
              <w:left w:val="single" w:color="auto" w:sz="4" w:space="0"/>
              <w:bottom w:val="single" w:color="auto" w:sz="4" w:space="0"/>
              <w:right w:val="single" w:color="auto" w:sz="4" w:space="0"/>
            </w:tcBorders>
          </w:tcPr>
          <w:p w14:paraId="1D2DAD46">
            <w:pPr>
              <w:widowControl/>
              <w:spacing w:line="360" w:lineRule="auto"/>
              <w:jc w:val="center"/>
              <w:rPr>
                <w:rFonts w:eastAsia="楷体_GB2312"/>
                <w:b/>
                <w:sz w:val="24"/>
              </w:rPr>
            </w:pPr>
          </w:p>
        </w:tc>
      </w:tr>
      <w:tr w14:paraId="66E62B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19D029C1">
            <w:pPr>
              <w:widowControl/>
              <w:spacing w:line="360" w:lineRule="auto"/>
              <w:jc w:val="left"/>
              <w:rPr>
                <w:rFonts w:eastAsia="楷体_GB2312"/>
                <w:sz w:val="18"/>
              </w:rPr>
            </w:pPr>
            <w:r>
              <w:rPr>
                <w:rFonts w:eastAsia="楷体_GB2312"/>
                <w:sz w:val="18"/>
              </w:rPr>
              <w:t>经处置已核销</w:t>
            </w:r>
          </w:p>
        </w:tc>
        <w:tc>
          <w:tcPr>
            <w:tcW w:w="1445" w:type="dxa"/>
            <w:tcBorders>
              <w:top w:val="single" w:color="auto" w:sz="4" w:space="0"/>
              <w:left w:val="single" w:color="auto" w:sz="4" w:space="0"/>
              <w:bottom w:val="single" w:color="auto" w:sz="4" w:space="0"/>
              <w:right w:val="single" w:color="auto" w:sz="4" w:space="0"/>
            </w:tcBorders>
          </w:tcPr>
          <w:p w14:paraId="61DE9F90">
            <w:pPr>
              <w:widowControl/>
              <w:spacing w:line="360" w:lineRule="auto"/>
              <w:jc w:val="center"/>
              <w:rPr>
                <w:rFonts w:eastAsia="楷体_GB2312"/>
                <w:b/>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349C37F9">
            <w:pPr>
              <w:widowControl/>
              <w:spacing w:line="360" w:lineRule="auto"/>
              <w:jc w:val="center"/>
              <w:rPr>
                <w:rFonts w:eastAsia="楷体_GB2312"/>
                <w:b/>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681C0B12">
            <w:pPr>
              <w:widowControl/>
              <w:spacing w:line="360" w:lineRule="auto"/>
              <w:jc w:val="center"/>
              <w:rPr>
                <w:rFonts w:eastAsia="楷体_GB2312"/>
                <w:b/>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16E1938C">
            <w:pPr>
              <w:widowControl/>
              <w:spacing w:line="360" w:lineRule="auto"/>
              <w:jc w:val="center"/>
              <w:rPr>
                <w:rFonts w:eastAsia="楷体_GB2312"/>
                <w:b/>
                <w:sz w:val="24"/>
                <w:lang w:eastAsia="zh-TW"/>
              </w:rPr>
            </w:pPr>
          </w:p>
        </w:tc>
      </w:tr>
      <w:tr w14:paraId="03A02B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272BAF1E">
            <w:pPr>
              <w:widowControl/>
              <w:spacing w:line="360" w:lineRule="auto"/>
              <w:jc w:val="left"/>
              <w:rPr>
                <w:rFonts w:eastAsia="楷体_GB2312"/>
                <w:sz w:val="18"/>
              </w:rPr>
            </w:pPr>
            <w:r>
              <w:rPr>
                <w:rFonts w:eastAsia="楷体_GB2312"/>
                <w:sz w:val="18"/>
              </w:rPr>
              <w:t>汇总</w:t>
            </w:r>
          </w:p>
        </w:tc>
        <w:tc>
          <w:tcPr>
            <w:tcW w:w="1445" w:type="dxa"/>
            <w:tcBorders>
              <w:top w:val="single" w:color="auto" w:sz="4" w:space="0"/>
              <w:left w:val="single" w:color="auto" w:sz="4" w:space="0"/>
              <w:bottom w:val="single" w:color="auto" w:sz="4" w:space="0"/>
              <w:right w:val="single" w:color="auto" w:sz="4" w:space="0"/>
            </w:tcBorders>
          </w:tcPr>
          <w:p w14:paraId="51E9E298">
            <w:pPr>
              <w:widowControl/>
              <w:spacing w:line="360" w:lineRule="auto"/>
              <w:jc w:val="center"/>
              <w:rPr>
                <w:rFonts w:eastAsia="楷体_GB2312"/>
                <w:b/>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14A6D31D">
            <w:pPr>
              <w:widowControl/>
              <w:spacing w:line="360" w:lineRule="auto"/>
              <w:jc w:val="center"/>
              <w:rPr>
                <w:rFonts w:eastAsia="楷体_GB2312"/>
                <w:b/>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5EFDB69B">
            <w:pPr>
              <w:widowControl/>
              <w:spacing w:line="360" w:lineRule="auto"/>
              <w:jc w:val="center"/>
              <w:rPr>
                <w:rFonts w:eastAsia="楷体_GB2312"/>
                <w:b/>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4653458E">
            <w:pPr>
              <w:widowControl/>
              <w:spacing w:line="360" w:lineRule="auto"/>
              <w:jc w:val="center"/>
              <w:rPr>
                <w:rFonts w:eastAsia="楷体_GB2312"/>
                <w:b/>
                <w:sz w:val="24"/>
                <w:lang w:eastAsia="zh-TW"/>
              </w:rPr>
            </w:pPr>
          </w:p>
        </w:tc>
      </w:tr>
    </w:tbl>
    <w:p w14:paraId="32C41C65">
      <w:pPr>
        <w:widowControl/>
        <w:spacing w:line="360" w:lineRule="auto"/>
        <w:jc w:val="left"/>
        <w:rPr>
          <w:rFonts w:eastAsia="楷体_GB2312"/>
          <w:sz w:val="24"/>
        </w:rPr>
      </w:pPr>
    </w:p>
    <w:p w14:paraId="28820ADC">
      <w:pPr>
        <w:widowControl/>
        <w:jc w:val="left"/>
        <w:rPr>
          <w:rFonts w:eastAsia="楷体_GB2312"/>
        </w:rPr>
      </w:pPr>
      <w:r>
        <w:rPr>
          <w:rFonts w:eastAsia="楷体_GB2312"/>
        </w:rPr>
        <w:br w:type="page"/>
      </w:r>
    </w:p>
    <w:tbl>
      <w:tblPr>
        <w:tblStyle w:val="27"/>
        <w:tblW w:w="847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51"/>
        <w:gridCol w:w="2127"/>
        <w:gridCol w:w="2128"/>
        <w:gridCol w:w="2269"/>
      </w:tblGrid>
      <w:tr w14:paraId="0C7EFA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14:paraId="1FE76E4B">
            <w:pPr>
              <w:widowControl/>
              <w:spacing w:line="360" w:lineRule="auto"/>
              <w:jc w:val="center"/>
              <w:rPr>
                <w:rFonts w:eastAsia="楷体_GB2312"/>
                <w:b/>
                <w:sz w:val="28"/>
              </w:rPr>
            </w:pPr>
            <w:r>
              <w:rPr>
                <w:rFonts w:eastAsia="楷体_GB2312"/>
                <w:b/>
                <w:sz w:val="28"/>
              </w:rPr>
              <w:t>【信托名称】受托机构报告</w:t>
            </w:r>
          </w:p>
        </w:tc>
      </w:tr>
      <w:tr w14:paraId="6518F7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nil"/>
              <w:right w:val="single" w:color="auto" w:sz="4" w:space="0"/>
            </w:tcBorders>
          </w:tcPr>
          <w:p w14:paraId="7E6E35F5">
            <w:pPr>
              <w:widowControl/>
              <w:spacing w:line="360" w:lineRule="auto"/>
              <w:jc w:val="left"/>
              <w:rPr>
                <w:rFonts w:eastAsia="楷体_GB2312"/>
                <w:b/>
                <w:szCs w:val="21"/>
                <w:lang w:eastAsia="zh-TW"/>
              </w:rPr>
            </w:pPr>
            <w:r>
              <w:rPr>
                <w:rFonts w:eastAsia="楷体_GB2312"/>
                <w:b/>
                <w:szCs w:val="21"/>
                <w:lang w:eastAsia="zh-TW"/>
              </w:rPr>
              <w:t>三、资产池情况</w:t>
            </w:r>
          </w:p>
        </w:tc>
      </w:tr>
      <w:tr w14:paraId="6C0920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top w:val="nil"/>
              <w:left w:val="single" w:color="auto" w:sz="4" w:space="0"/>
              <w:bottom w:val="single" w:color="auto" w:sz="4" w:space="0"/>
              <w:right w:val="single" w:color="auto" w:sz="4" w:space="0"/>
            </w:tcBorders>
          </w:tcPr>
          <w:p w14:paraId="09DFDC0A">
            <w:pPr>
              <w:widowControl/>
              <w:spacing w:line="360" w:lineRule="auto"/>
              <w:jc w:val="left"/>
              <w:rPr>
                <w:rFonts w:eastAsia="楷体_GB2312"/>
                <w:bCs/>
                <w:szCs w:val="21"/>
                <w:lang w:eastAsia="zh-TW"/>
              </w:rPr>
            </w:pPr>
            <w:r>
              <w:rPr>
                <w:rFonts w:eastAsia="楷体_GB2312"/>
                <w:bCs/>
                <w:szCs w:val="21"/>
                <w:lang w:eastAsia="zh-TW"/>
              </w:rPr>
              <w:t>（四）累计违约率</w:t>
            </w:r>
          </w:p>
        </w:tc>
      </w:tr>
      <w:tr w14:paraId="5861EB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352664E8">
            <w:pPr>
              <w:widowControl/>
              <w:spacing w:line="360" w:lineRule="auto"/>
              <w:jc w:val="center"/>
              <w:rPr>
                <w:rFonts w:eastAsia="楷体_GB2312"/>
                <w:b/>
                <w:szCs w:val="21"/>
              </w:rPr>
            </w:pPr>
            <w:r>
              <w:rPr>
                <w:rFonts w:eastAsia="楷体_GB2312"/>
                <w:b/>
                <w:szCs w:val="21"/>
                <w:lang w:eastAsia="zh-TW"/>
              </w:rPr>
              <w:t>期数</w:t>
            </w:r>
            <w:r>
              <w:rPr>
                <w:rFonts w:eastAsia="楷体_GB2312"/>
                <w:b/>
                <w:szCs w:val="21"/>
              </w:rPr>
              <w:t>（收款期间）</w:t>
            </w:r>
          </w:p>
        </w:tc>
        <w:tc>
          <w:tcPr>
            <w:tcW w:w="2126" w:type="dxa"/>
            <w:tcBorders>
              <w:top w:val="single" w:color="auto" w:sz="4" w:space="0"/>
              <w:left w:val="single" w:color="auto" w:sz="4" w:space="0"/>
              <w:bottom w:val="single" w:color="auto" w:sz="4" w:space="0"/>
              <w:right w:val="single" w:color="auto" w:sz="4" w:space="0"/>
            </w:tcBorders>
          </w:tcPr>
          <w:p w14:paraId="1CF9DA4C">
            <w:pPr>
              <w:widowControl/>
              <w:spacing w:line="360" w:lineRule="auto"/>
              <w:jc w:val="center"/>
              <w:rPr>
                <w:rFonts w:eastAsia="楷体_GB2312"/>
                <w:b/>
                <w:szCs w:val="21"/>
              </w:rPr>
            </w:pPr>
            <w:r>
              <w:rPr>
                <w:rFonts w:eastAsia="楷体_GB2312"/>
                <w:b/>
                <w:szCs w:val="21"/>
              </w:rPr>
              <w:t>报告日期（收款期间期末）</w:t>
            </w:r>
          </w:p>
        </w:tc>
        <w:tc>
          <w:tcPr>
            <w:tcW w:w="2127" w:type="dxa"/>
            <w:tcBorders>
              <w:top w:val="single" w:color="auto" w:sz="4" w:space="0"/>
              <w:left w:val="single" w:color="auto" w:sz="4" w:space="0"/>
              <w:bottom w:val="single" w:color="auto" w:sz="4" w:space="0"/>
              <w:right w:val="nil"/>
            </w:tcBorders>
          </w:tcPr>
          <w:p w14:paraId="38384A0F">
            <w:pPr>
              <w:widowControl/>
              <w:spacing w:line="360" w:lineRule="auto"/>
              <w:jc w:val="center"/>
              <w:rPr>
                <w:rFonts w:eastAsia="楷体_GB2312"/>
                <w:b/>
                <w:szCs w:val="21"/>
              </w:rPr>
            </w:pPr>
            <w:r>
              <w:rPr>
                <w:rFonts w:eastAsia="楷体_GB2312"/>
                <w:b/>
                <w:szCs w:val="21"/>
                <w:lang w:eastAsia="zh-TW"/>
              </w:rPr>
              <w:t>累计违约率</w:t>
            </w:r>
            <w:r>
              <w:rPr>
                <w:rFonts w:eastAsia="楷体_GB2312"/>
                <w:b/>
                <w:szCs w:val="21"/>
              </w:rPr>
              <w:t>（%）</w:t>
            </w:r>
          </w:p>
        </w:tc>
        <w:tc>
          <w:tcPr>
            <w:tcW w:w="2268" w:type="dxa"/>
            <w:tcBorders>
              <w:top w:val="single" w:color="auto" w:sz="4" w:space="0"/>
              <w:left w:val="single" w:color="auto" w:sz="4" w:space="0"/>
              <w:bottom w:val="single" w:color="auto" w:sz="4" w:space="0"/>
              <w:right w:val="single" w:color="auto" w:sz="4" w:space="0"/>
            </w:tcBorders>
          </w:tcPr>
          <w:p w14:paraId="627E00FB">
            <w:pPr>
              <w:widowControl/>
              <w:spacing w:line="360" w:lineRule="auto"/>
              <w:jc w:val="center"/>
              <w:rPr>
                <w:rFonts w:eastAsia="楷体_GB2312"/>
                <w:b/>
                <w:szCs w:val="21"/>
              </w:rPr>
            </w:pPr>
            <w:r>
              <w:rPr>
                <w:rFonts w:eastAsia="楷体_GB2312"/>
                <w:b/>
                <w:szCs w:val="21"/>
              </w:rPr>
              <w:t>累计违约金额（元）</w:t>
            </w:r>
          </w:p>
          <w:p w14:paraId="16F88DBB">
            <w:pPr>
              <w:widowControl/>
              <w:spacing w:line="360" w:lineRule="auto"/>
              <w:jc w:val="center"/>
              <w:rPr>
                <w:rFonts w:eastAsia="楷体_GB2312"/>
                <w:b/>
                <w:szCs w:val="21"/>
              </w:rPr>
            </w:pPr>
          </w:p>
        </w:tc>
      </w:tr>
      <w:tr w14:paraId="1678F6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3F9AC375">
            <w:pPr>
              <w:widowControl/>
              <w:spacing w:line="360" w:lineRule="auto"/>
              <w:jc w:val="left"/>
              <w:rPr>
                <w:rFonts w:eastAsia="楷体_GB2312"/>
                <w:sz w:val="18"/>
                <w:lang w:eastAsia="zh-TW"/>
              </w:rPr>
            </w:pPr>
            <w:r>
              <w:rPr>
                <w:rFonts w:eastAsia="楷体_GB2312"/>
                <w:sz w:val="18"/>
                <w:lang w:eastAsia="zh-TW"/>
              </w:rPr>
              <w:t>第1期</w:t>
            </w:r>
          </w:p>
        </w:tc>
        <w:tc>
          <w:tcPr>
            <w:tcW w:w="2126" w:type="dxa"/>
            <w:tcBorders>
              <w:top w:val="single" w:color="auto" w:sz="4" w:space="0"/>
              <w:left w:val="single" w:color="auto" w:sz="4" w:space="0"/>
              <w:bottom w:val="single" w:color="auto" w:sz="4" w:space="0"/>
              <w:right w:val="single" w:color="auto" w:sz="4" w:space="0"/>
            </w:tcBorders>
          </w:tcPr>
          <w:p w14:paraId="2F492C28">
            <w:pPr>
              <w:widowControl/>
              <w:spacing w:line="360" w:lineRule="auto"/>
              <w:jc w:val="center"/>
              <w:rPr>
                <w:rFonts w:eastAsia="楷体_GB2312"/>
                <w:sz w:val="24"/>
                <w:lang w:eastAsia="zh-TW"/>
              </w:rPr>
            </w:pPr>
          </w:p>
        </w:tc>
        <w:tc>
          <w:tcPr>
            <w:tcW w:w="2127" w:type="dxa"/>
            <w:tcBorders>
              <w:top w:val="single" w:color="auto" w:sz="4" w:space="0"/>
              <w:left w:val="single" w:color="auto" w:sz="4" w:space="0"/>
              <w:bottom w:val="single" w:color="auto" w:sz="4" w:space="0"/>
              <w:right w:val="nil"/>
            </w:tcBorders>
          </w:tcPr>
          <w:p w14:paraId="252FCD67">
            <w:pPr>
              <w:widowControl/>
              <w:spacing w:line="360" w:lineRule="auto"/>
              <w:jc w:val="center"/>
              <w:rPr>
                <w:rFonts w:eastAsia="楷体_GB2312"/>
                <w:sz w:val="24"/>
                <w:lang w:eastAsia="zh-TW"/>
              </w:rPr>
            </w:pPr>
          </w:p>
        </w:tc>
        <w:tc>
          <w:tcPr>
            <w:tcW w:w="2268" w:type="dxa"/>
            <w:tcBorders>
              <w:top w:val="single" w:color="auto" w:sz="4" w:space="0"/>
              <w:left w:val="single" w:color="auto" w:sz="4" w:space="0"/>
              <w:bottom w:val="single" w:color="auto" w:sz="4" w:space="0"/>
              <w:right w:val="single" w:color="auto" w:sz="4" w:space="0"/>
            </w:tcBorders>
          </w:tcPr>
          <w:p w14:paraId="35E7BE36">
            <w:pPr>
              <w:widowControl/>
              <w:spacing w:line="360" w:lineRule="auto"/>
              <w:jc w:val="center"/>
              <w:rPr>
                <w:rFonts w:eastAsia="楷体_GB2312"/>
                <w:sz w:val="24"/>
                <w:lang w:eastAsia="zh-TW"/>
              </w:rPr>
            </w:pPr>
          </w:p>
        </w:tc>
      </w:tr>
      <w:tr w14:paraId="4B36F8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399A7699">
            <w:pPr>
              <w:widowControl/>
              <w:spacing w:line="360" w:lineRule="auto"/>
              <w:jc w:val="left"/>
              <w:rPr>
                <w:rFonts w:eastAsia="楷体_GB2312"/>
                <w:sz w:val="18"/>
                <w:lang w:eastAsia="zh-TW"/>
              </w:rPr>
            </w:pPr>
            <w:r>
              <w:rPr>
                <w:rFonts w:eastAsia="楷体_GB2312"/>
                <w:sz w:val="18"/>
                <w:lang w:eastAsia="zh-TW"/>
              </w:rPr>
              <w:t>第2期</w:t>
            </w:r>
          </w:p>
        </w:tc>
        <w:tc>
          <w:tcPr>
            <w:tcW w:w="2126" w:type="dxa"/>
            <w:tcBorders>
              <w:top w:val="single" w:color="auto" w:sz="4" w:space="0"/>
              <w:left w:val="single" w:color="auto" w:sz="4" w:space="0"/>
              <w:bottom w:val="single" w:color="auto" w:sz="4" w:space="0"/>
              <w:right w:val="single" w:color="auto" w:sz="4" w:space="0"/>
            </w:tcBorders>
          </w:tcPr>
          <w:p w14:paraId="75C4ABF0">
            <w:pPr>
              <w:widowControl/>
              <w:spacing w:line="360" w:lineRule="auto"/>
              <w:jc w:val="center"/>
              <w:rPr>
                <w:rFonts w:eastAsia="楷体_GB2312"/>
                <w:sz w:val="24"/>
                <w:lang w:eastAsia="zh-TW"/>
              </w:rPr>
            </w:pPr>
          </w:p>
        </w:tc>
        <w:tc>
          <w:tcPr>
            <w:tcW w:w="2127" w:type="dxa"/>
            <w:tcBorders>
              <w:top w:val="single" w:color="auto" w:sz="4" w:space="0"/>
              <w:left w:val="single" w:color="auto" w:sz="4" w:space="0"/>
              <w:bottom w:val="single" w:color="auto" w:sz="4" w:space="0"/>
              <w:right w:val="nil"/>
            </w:tcBorders>
          </w:tcPr>
          <w:p w14:paraId="150506A8">
            <w:pPr>
              <w:widowControl/>
              <w:spacing w:line="360" w:lineRule="auto"/>
              <w:jc w:val="center"/>
              <w:rPr>
                <w:rFonts w:eastAsia="楷体_GB2312"/>
                <w:sz w:val="24"/>
                <w:lang w:eastAsia="zh-TW"/>
              </w:rPr>
            </w:pPr>
          </w:p>
        </w:tc>
        <w:tc>
          <w:tcPr>
            <w:tcW w:w="2268" w:type="dxa"/>
            <w:tcBorders>
              <w:top w:val="single" w:color="auto" w:sz="4" w:space="0"/>
              <w:left w:val="single" w:color="auto" w:sz="4" w:space="0"/>
              <w:bottom w:val="single" w:color="auto" w:sz="4" w:space="0"/>
              <w:right w:val="single" w:color="auto" w:sz="4" w:space="0"/>
            </w:tcBorders>
          </w:tcPr>
          <w:p w14:paraId="7CDD273B">
            <w:pPr>
              <w:widowControl/>
              <w:spacing w:line="360" w:lineRule="auto"/>
              <w:jc w:val="center"/>
              <w:rPr>
                <w:rFonts w:eastAsia="楷体_GB2312"/>
                <w:sz w:val="24"/>
                <w:lang w:eastAsia="zh-TW"/>
              </w:rPr>
            </w:pPr>
          </w:p>
        </w:tc>
      </w:tr>
      <w:tr w14:paraId="437CC5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16DD6ADE">
            <w:pPr>
              <w:widowControl/>
              <w:spacing w:line="360" w:lineRule="auto"/>
              <w:jc w:val="left"/>
              <w:rPr>
                <w:rFonts w:eastAsia="楷体_GB2312"/>
                <w:sz w:val="18"/>
                <w:lang w:eastAsia="zh-TW"/>
              </w:rPr>
            </w:pPr>
            <w:r>
              <w:rPr>
                <w:rFonts w:eastAsia="楷体_GB2312"/>
                <w:sz w:val="18"/>
                <w:lang w:eastAsia="zh-TW"/>
              </w:rPr>
              <w:t>第3期</w:t>
            </w:r>
          </w:p>
        </w:tc>
        <w:tc>
          <w:tcPr>
            <w:tcW w:w="2126" w:type="dxa"/>
            <w:tcBorders>
              <w:top w:val="single" w:color="auto" w:sz="4" w:space="0"/>
              <w:left w:val="single" w:color="auto" w:sz="4" w:space="0"/>
              <w:bottom w:val="single" w:color="auto" w:sz="4" w:space="0"/>
              <w:right w:val="single" w:color="auto" w:sz="4" w:space="0"/>
            </w:tcBorders>
          </w:tcPr>
          <w:p w14:paraId="4759770D">
            <w:pPr>
              <w:widowControl/>
              <w:spacing w:line="360" w:lineRule="auto"/>
              <w:jc w:val="center"/>
              <w:rPr>
                <w:rFonts w:eastAsia="楷体_GB2312"/>
                <w:sz w:val="24"/>
                <w:lang w:eastAsia="zh-TW"/>
              </w:rPr>
            </w:pPr>
          </w:p>
        </w:tc>
        <w:tc>
          <w:tcPr>
            <w:tcW w:w="2127" w:type="dxa"/>
            <w:tcBorders>
              <w:top w:val="single" w:color="auto" w:sz="4" w:space="0"/>
              <w:left w:val="single" w:color="auto" w:sz="4" w:space="0"/>
              <w:bottom w:val="single" w:color="auto" w:sz="4" w:space="0"/>
              <w:right w:val="nil"/>
            </w:tcBorders>
          </w:tcPr>
          <w:p w14:paraId="4E391499">
            <w:pPr>
              <w:widowControl/>
              <w:spacing w:line="360" w:lineRule="auto"/>
              <w:jc w:val="center"/>
              <w:rPr>
                <w:rFonts w:eastAsia="楷体_GB2312"/>
                <w:sz w:val="24"/>
                <w:lang w:eastAsia="zh-TW"/>
              </w:rPr>
            </w:pPr>
          </w:p>
        </w:tc>
        <w:tc>
          <w:tcPr>
            <w:tcW w:w="2268" w:type="dxa"/>
            <w:tcBorders>
              <w:top w:val="single" w:color="auto" w:sz="4" w:space="0"/>
              <w:left w:val="single" w:color="auto" w:sz="4" w:space="0"/>
              <w:bottom w:val="single" w:color="auto" w:sz="4" w:space="0"/>
              <w:right w:val="single" w:color="auto" w:sz="4" w:space="0"/>
            </w:tcBorders>
          </w:tcPr>
          <w:p w14:paraId="7ED81A7A">
            <w:pPr>
              <w:widowControl/>
              <w:spacing w:line="360" w:lineRule="auto"/>
              <w:jc w:val="center"/>
              <w:rPr>
                <w:rFonts w:eastAsia="楷体_GB2312"/>
                <w:sz w:val="24"/>
                <w:lang w:eastAsia="zh-TW"/>
              </w:rPr>
            </w:pPr>
          </w:p>
        </w:tc>
      </w:tr>
      <w:tr w14:paraId="413B9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24C164C5">
            <w:pPr>
              <w:widowControl/>
              <w:spacing w:line="360" w:lineRule="auto"/>
              <w:jc w:val="left"/>
              <w:rPr>
                <w:rFonts w:eastAsia="楷体_GB2312"/>
                <w:sz w:val="18"/>
                <w:lang w:eastAsia="zh-TW"/>
              </w:rPr>
            </w:pPr>
            <w:r>
              <w:rPr>
                <w:rFonts w:eastAsia="楷体_GB2312"/>
                <w:sz w:val="18"/>
                <w:lang w:eastAsia="zh-TW"/>
              </w:rPr>
              <w:t>第4期</w:t>
            </w:r>
          </w:p>
        </w:tc>
        <w:tc>
          <w:tcPr>
            <w:tcW w:w="2127" w:type="dxa"/>
            <w:tcBorders>
              <w:top w:val="single" w:color="auto" w:sz="4" w:space="0"/>
              <w:left w:val="single" w:color="auto" w:sz="4" w:space="0"/>
              <w:bottom w:val="single" w:color="auto" w:sz="4" w:space="0"/>
              <w:right w:val="single" w:color="auto" w:sz="4" w:space="0"/>
            </w:tcBorders>
          </w:tcPr>
          <w:p w14:paraId="2A43AD56">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015D98EF">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7EC0B062">
            <w:pPr>
              <w:widowControl/>
              <w:spacing w:line="360" w:lineRule="auto"/>
              <w:jc w:val="center"/>
              <w:rPr>
                <w:rFonts w:eastAsia="楷体_GB2312"/>
                <w:sz w:val="24"/>
                <w:lang w:eastAsia="zh-TW"/>
              </w:rPr>
            </w:pPr>
          </w:p>
        </w:tc>
      </w:tr>
      <w:tr w14:paraId="672409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26E48555">
            <w:pPr>
              <w:widowControl/>
              <w:spacing w:line="360" w:lineRule="auto"/>
              <w:jc w:val="left"/>
              <w:rPr>
                <w:rFonts w:eastAsia="楷体_GB2312"/>
                <w:sz w:val="18"/>
                <w:lang w:eastAsia="zh-TW"/>
              </w:rPr>
            </w:pPr>
            <w:r>
              <w:rPr>
                <w:rFonts w:eastAsia="楷体_GB2312"/>
                <w:sz w:val="18"/>
                <w:lang w:eastAsia="zh-TW"/>
              </w:rPr>
              <w:t>第5期</w:t>
            </w:r>
          </w:p>
        </w:tc>
        <w:tc>
          <w:tcPr>
            <w:tcW w:w="2127" w:type="dxa"/>
            <w:tcBorders>
              <w:top w:val="single" w:color="auto" w:sz="4" w:space="0"/>
              <w:left w:val="single" w:color="auto" w:sz="4" w:space="0"/>
              <w:bottom w:val="single" w:color="auto" w:sz="4" w:space="0"/>
              <w:right w:val="single" w:color="auto" w:sz="4" w:space="0"/>
            </w:tcBorders>
          </w:tcPr>
          <w:p w14:paraId="27DBCCD2">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364D5DF2">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5119D598">
            <w:pPr>
              <w:widowControl/>
              <w:spacing w:line="360" w:lineRule="auto"/>
              <w:jc w:val="center"/>
              <w:rPr>
                <w:rFonts w:eastAsia="楷体_GB2312"/>
                <w:sz w:val="24"/>
                <w:lang w:eastAsia="zh-TW"/>
              </w:rPr>
            </w:pPr>
          </w:p>
        </w:tc>
      </w:tr>
      <w:tr w14:paraId="25D5C7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6C897E72">
            <w:pPr>
              <w:widowControl/>
              <w:spacing w:line="360" w:lineRule="auto"/>
              <w:jc w:val="left"/>
              <w:rPr>
                <w:rFonts w:eastAsia="楷体_GB2312"/>
                <w:sz w:val="18"/>
                <w:lang w:eastAsia="zh-TW"/>
              </w:rPr>
            </w:pPr>
            <w:r>
              <w:rPr>
                <w:rFonts w:eastAsia="楷体_GB2312"/>
                <w:sz w:val="18"/>
                <w:lang w:eastAsia="zh-TW"/>
              </w:rPr>
              <w:t>第6期</w:t>
            </w:r>
          </w:p>
        </w:tc>
        <w:tc>
          <w:tcPr>
            <w:tcW w:w="2127" w:type="dxa"/>
            <w:tcBorders>
              <w:top w:val="single" w:color="auto" w:sz="4" w:space="0"/>
              <w:left w:val="single" w:color="auto" w:sz="4" w:space="0"/>
              <w:bottom w:val="single" w:color="auto" w:sz="4" w:space="0"/>
              <w:right w:val="single" w:color="auto" w:sz="4" w:space="0"/>
            </w:tcBorders>
          </w:tcPr>
          <w:p w14:paraId="71C4C6EF">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2510B1D7">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0C83580E">
            <w:pPr>
              <w:widowControl/>
              <w:spacing w:line="360" w:lineRule="auto"/>
              <w:jc w:val="center"/>
              <w:rPr>
                <w:rFonts w:eastAsia="楷体_GB2312"/>
                <w:sz w:val="24"/>
                <w:lang w:eastAsia="zh-TW"/>
              </w:rPr>
            </w:pPr>
          </w:p>
        </w:tc>
      </w:tr>
      <w:tr w14:paraId="1210DF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1552B4F2">
            <w:pPr>
              <w:widowControl/>
              <w:spacing w:line="360" w:lineRule="auto"/>
              <w:jc w:val="left"/>
              <w:rPr>
                <w:rFonts w:eastAsia="楷体_GB2312"/>
                <w:sz w:val="18"/>
                <w:lang w:eastAsia="zh-TW"/>
              </w:rPr>
            </w:pPr>
            <w:r>
              <w:rPr>
                <w:rFonts w:eastAsia="楷体_GB2312"/>
                <w:sz w:val="18"/>
                <w:lang w:eastAsia="zh-TW"/>
              </w:rPr>
              <w:t>第7期</w:t>
            </w:r>
          </w:p>
        </w:tc>
        <w:tc>
          <w:tcPr>
            <w:tcW w:w="2127" w:type="dxa"/>
            <w:tcBorders>
              <w:top w:val="single" w:color="auto" w:sz="4" w:space="0"/>
              <w:left w:val="single" w:color="auto" w:sz="4" w:space="0"/>
              <w:bottom w:val="single" w:color="auto" w:sz="4" w:space="0"/>
              <w:right w:val="single" w:color="auto" w:sz="4" w:space="0"/>
            </w:tcBorders>
          </w:tcPr>
          <w:p w14:paraId="20F453AD">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583ACA52">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627087A6">
            <w:pPr>
              <w:widowControl/>
              <w:spacing w:line="360" w:lineRule="auto"/>
              <w:jc w:val="center"/>
              <w:rPr>
                <w:rFonts w:eastAsia="楷体_GB2312"/>
                <w:sz w:val="24"/>
                <w:lang w:eastAsia="zh-TW"/>
              </w:rPr>
            </w:pPr>
          </w:p>
        </w:tc>
      </w:tr>
      <w:tr w14:paraId="69382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2C618055">
            <w:pPr>
              <w:widowControl/>
              <w:spacing w:line="360" w:lineRule="auto"/>
              <w:jc w:val="left"/>
              <w:rPr>
                <w:rFonts w:eastAsia="楷体_GB2312"/>
                <w:sz w:val="18"/>
              </w:rPr>
            </w:pPr>
            <w:r>
              <w:rPr>
                <w:rFonts w:eastAsia="楷体_GB2312"/>
                <w:sz w:val="18"/>
              </w:rPr>
              <w:t>……</w:t>
            </w:r>
          </w:p>
        </w:tc>
        <w:tc>
          <w:tcPr>
            <w:tcW w:w="2127" w:type="dxa"/>
            <w:tcBorders>
              <w:top w:val="single" w:color="auto" w:sz="4" w:space="0"/>
              <w:left w:val="single" w:color="auto" w:sz="4" w:space="0"/>
              <w:bottom w:val="single" w:color="auto" w:sz="4" w:space="0"/>
              <w:right w:val="single" w:color="auto" w:sz="4" w:space="0"/>
            </w:tcBorders>
          </w:tcPr>
          <w:p w14:paraId="33851538">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138BE51B">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78E0F587">
            <w:pPr>
              <w:widowControl/>
              <w:spacing w:line="360" w:lineRule="auto"/>
              <w:jc w:val="center"/>
              <w:rPr>
                <w:rFonts w:eastAsia="楷体_GB2312"/>
                <w:sz w:val="24"/>
                <w:lang w:eastAsia="zh-TW"/>
              </w:rPr>
            </w:pPr>
          </w:p>
        </w:tc>
      </w:tr>
    </w:tbl>
    <w:p w14:paraId="2A8F0F8A">
      <w:pPr>
        <w:rPr>
          <w:rFonts w:eastAsia="楷体_GB2312"/>
        </w:rPr>
      </w:pPr>
    </w:p>
    <w:p w14:paraId="4D53E338">
      <w:pPr>
        <w:rPr>
          <w:rFonts w:eastAsia="楷体_GB2312"/>
        </w:rPr>
      </w:pPr>
    </w:p>
    <w:p w14:paraId="2640BD21">
      <w:pPr>
        <w:rPr>
          <w:rFonts w:eastAsia="楷体_GB2312"/>
        </w:rPr>
      </w:pPr>
    </w:p>
    <w:p w14:paraId="1CA4500A">
      <w:pPr>
        <w:widowControl/>
        <w:jc w:val="left"/>
        <w:rPr>
          <w:rFonts w:eastAsia="楷体_GB2312"/>
        </w:rPr>
      </w:pPr>
      <w:r>
        <w:rPr>
          <w:rFonts w:eastAsia="楷体_GB2312"/>
        </w:rPr>
        <w:br w:type="page"/>
      </w:r>
    </w:p>
    <w:tbl>
      <w:tblPr>
        <w:tblStyle w:val="27"/>
        <w:tblW w:w="847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51"/>
        <w:gridCol w:w="1559"/>
        <w:gridCol w:w="1702"/>
        <w:gridCol w:w="1419"/>
        <w:gridCol w:w="1844"/>
      </w:tblGrid>
      <w:tr w14:paraId="0A53B3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single" w:color="auto" w:sz="4" w:space="0"/>
              <w:left w:val="single" w:color="auto" w:sz="4" w:space="0"/>
              <w:bottom w:val="single" w:color="auto" w:sz="4" w:space="0"/>
              <w:right w:val="single" w:color="auto" w:sz="4" w:space="0"/>
            </w:tcBorders>
          </w:tcPr>
          <w:p w14:paraId="669F5A2F">
            <w:pPr>
              <w:widowControl/>
              <w:spacing w:line="360" w:lineRule="auto"/>
              <w:jc w:val="center"/>
              <w:rPr>
                <w:rFonts w:eastAsia="楷体_GB2312"/>
                <w:b/>
                <w:sz w:val="28"/>
              </w:rPr>
            </w:pPr>
            <w:r>
              <w:rPr>
                <w:rFonts w:eastAsia="楷体_GB2312"/>
                <w:b/>
                <w:sz w:val="28"/>
              </w:rPr>
              <w:t>【信托名称】受托机构报告</w:t>
            </w:r>
          </w:p>
        </w:tc>
      </w:tr>
      <w:tr w14:paraId="282625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single" w:color="auto" w:sz="4" w:space="0"/>
              <w:left w:val="single" w:color="auto" w:sz="4" w:space="0"/>
              <w:bottom w:val="single" w:color="auto" w:sz="4" w:space="0"/>
              <w:right w:val="single" w:color="auto" w:sz="4" w:space="0"/>
            </w:tcBorders>
          </w:tcPr>
          <w:p w14:paraId="4807502F">
            <w:pPr>
              <w:widowControl/>
              <w:spacing w:line="360" w:lineRule="auto"/>
              <w:jc w:val="left"/>
              <w:rPr>
                <w:rFonts w:eastAsia="楷体_GB2312"/>
                <w:b/>
                <w:szCs w:val="21"/>
              </w:rPr>
            </w:pPr>
            <w:r>
              <w:rPr>
                <w:rFonts w:eastAsia="楷体_GB2312"/>
                <w:b/>
                <w:szCs w:val="21"/>
              </w:rPr>
              <w:t>三、资产池情况</w:t>
            </w:r>
          </w:p>
          <w:p w14:paraId="5B9BE999">
            <w:pPr>
              <w:widowControl/>
              <w:spacing w:line="360" w:lineRule="auto"/>
              <w:jc w:val="left"/>
              <w:rPr>
                <w:rFonts w:eastAsia="楷体_GB2312"/>
                <w:bCs/>
                <w:szCs w:val="21"/>
              </w:rPr>
            </w:pPr>
            <w:r>
              <w:rPr>
                <w:rFonts w:eastAsia="楷体_GB2312"/>
                <w:bCs/>
                <w:szCs w:val="21"/>
              </w:rPr>
              <w:t>（五）资产池现金流归集表</w:t>
            </w:r>
          </w:p>
          <w:p w14:paraId="075D7A36">
            <w:pPr>
              <w:widowControl/>
              <w:spacing w:line="360" w:lineRule="auto"/>
              <w:jc w:val="left"/>
              <w:rPr>
                <w:rFonts w:eastAsia="楷体_GB2312"/>
                <w:sz w:val="24"/>
              </w:rPr>
            </w:pPr>
            <w:r>
              <w:rPr>
                <w:rFonts w:eastAsia="楷体_GB2312"/>
                <w:szCs w:val="21"/>
              </w:rPr>
              <w:t>（正常情景下，指按摊还计划对每个收款期间现金流进行归集，不考虑早偿、拖欠、违约、回收等情况。若在此报告时点已经发生的早偿贷款则应该从现金流摊还计划表中剔除）</w:t>
            </w:r>
          </w:p>
        </w:tc>
      </w:tr>
      <w:tr w14:paraId="3E53B0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5A6A858D">
            <w:pPr>
              <w:widowControl/>
              <w:spacing w:line="360" w:lineRule="auto"/>
              <w:jc w:val="left"/>
              <w:rPr>
                <w:rFonts w:eastAsia="楷体_GB2312"/>
                <w:b/>
                <w:sz w:val="18"/>
                <w:szCs w:val="18"/>
              </w:rPr>
            </w:pPr>
            <w:r>
              <w:rPr>
                <w:rFonts w:eastAsia="楷体_GB2312"/>
                <w:b/>
                <w:sz w:val="18"/>
                <w:szCs w:val="18"/>
              </w:rPr>
              <w:t>计算日（收款期间期末日期）</w:t>
            </w:r>
          </w:p>
        </w:tc>
        <w:tc>
          <w:tcPr>
            <w:tcW w:w="1559" w:type="dxa"/>
            <w:tcBorders>
              <w:top w:val="single" w:color="auto" w:sz="4" w:space="0"/>
              <w:left w:val="single" w:color="auto" w:sz="4" w:space="0"/>
              <w:bottom w:val="single" w:color="auto" w:sz="4" w:space="0"/>
              <w:right w:val="single" w:color="auto" w:sz="4" w:space="0"/>
            </w:tcBorders>
          </w:tcPr>
          <w:p w14:paraId="43925F05">
            <w:pPr>
              <w:widowControl/>
              <w:spacing w:line="360" w:lineRule="auto"/>
              <w:jc w:val="left"/>
              <w:rPr>
                <w:rFonts w:eastAsia="楷体_GB2312"/>
                <w:b/>
                <w:sz w:val="18"/>
                <w:lang w:eastAsia="zh-TW"/>
              </w:rPr>
            </w:pPr>
            <w:r>
              <w:rPr>
                <w:rFonts w:eastAsia="楷体_GB2312"/>
                <w:b/>
                <w:sz w:val="18"/>
                <w:lang w:eastAsia="zh-TW"/>
              </w:rPr>
              <w:t>期初本金总余额</w:t>
            </w:r>
          </w:p>
        </w:tc>
        <w:tc>
          <w:tcPr>
            <w:tcW w:w="1701" w:type="dxa"/>
            <w:tcBorders>
              <w:top w:val="single" w:color="auto" w:sz="4" w:space="0"/>
              <w:left w:val="single" w:color="auto" w:sz="4" w:space="0"/>
              <w:bottom w:val="single" w:color="auto" w:sz="4" w:space="0"/>
              <w:right w:val="single" w:color="auto" w:sz="4" w:space="0"/>
            </w:tcBorders>
          </w:tcPr>
          <w:p w14:paraId="615412C3">
            <w:pPr>
              <w:widowControl/>
              <w:spacing w:line="360" w:lineRule="auto"/>
              <w:jc w:val="left"/>
              <w:rPr>
                <w:rFonts w:eastAsia="楷体_GB2312"/>
                <w:b/>
                <w:sz w:val="18"/>
                <w:lang w:eastAsia="zh-TW"/>
              </w:rPr>
            </w:pPr>
            <w:r>
              <w:rPr>
                <w:rFonts w:eastAsia="楷体_GB2312"/>
                <w:b/>
                <w:sz w:val="18"/>
                <w:lang w:eastAsia="zh-TW"/>
              </w:rPr>
              <w:t>本期应收本金</w:t>
            </w:r>
          </w:p>
        </w:tc>
        <w:tc>
          <w:tcPr>
            <w:tcW w:w="1418" w:type="dxa"/>
            <w:tcBorders>
              <w:top w:val="single" w:color="auto" w:sz="4" w:space="0"/>
              <w:left w:val="single" w:color="auto" w:sz="4" w:space="0"/>
              <w:bottom w:val="single" w:color="auto" w:sz="4" w:space="0"/>
              <w:right w:val="single" w:color="auto" w:sz="4" w:space="0"/>
            </w:tcBorders>
          </w:tcPr>
          <w:p w14:paraId="7160BBC5">
            <w:pPr>
              <w:widowControl/>
              <w:spacing w:line="360" w:lineRule="auto"/>
              <w:jc w:val="left"/>
              <w:rPr>
                <w:rFonts w:eastAsia="楷体_GB2312"/>
                <w:b/>
                <w:sz w:val="24"/>
                <w:lang w:eastAsia="zh-TW"/>
              </w:rPr>
            </w:pPr>
            <w:r>
              <w:rPr>
                <w:rFonts w:eastAsia="楷体_GB2312"/>
                <w:b/>
                <w:sz w:val="18"/>
                <w:lang w:eastAsia="zh-TW"/>
              </w:rPr>
              <w:t>本期应收利息</w:t>
            </w:r>
          </w:p>
        </w:tc>
        <w:tc>
          <w:tcPr>
            <w:tcW w:w="1843" w:type="dxa"/>
            <w:tcBorders>
              <w:top w:val="single" w:color="auto" w:sz="4" w:space="0"/>
              <w:left w:val="single" w:color="auto" w:sz="4" w:space="0"/>
              <w:bottom w:val="single" w:color="auto" w:sz="4" w:space="0"/>
              <w:right w:val="single" w:color="auto" w:sz="4" w:space="0"/>
            </w:tcBorders>
          </w:tcPr>
          <w:p w14:paraId="27107B37">
            <w:pPr>
              <w:widowControl/>
              <w:spacing w:line="360" w:lineRule="auto"/>
              <w:jc w:val="left"/>
              <w:rPr>
                <w:rFonts w:eastAsia="楷体_GB2312"/>
                <w:b/>
                <w:sz w:val="24"/>
              </w:rPr>
            </w:pPr>
            <w:r>
              <w:rPr>
                <w:rFonts w:eastAsia="楷体_GB2312"/>
                <w:b/>
                <w:sz w:val="18"/>
              </w:rPr>
              <w:t>期末本金总余额</w:t>
            </w:r>
          </w:p>
        </w:tc>
      </w:tr>
      <w:tr w14:paraId="20B83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2B9B1F05">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7901C6C6">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54339077">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593A0CDB">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230C0F6B">
            <w:pPr>
              <w:widowControl/>
              <w:spacing w:line="360" w:lineRule="auto"/>
              <w:jc w:val="left"/>
              <w:rPr>
                <w:rFonts w:eastAsia="楷体_GB2312"/>
                <w:sz w:val="18"/>
                <w:szCs w:val="18"/>
                <w:lang w:eastAsia="zh-TW"/>
              </w:rPr>
            </w:pPr>
          </w:p>
        </w:tc>
      </w:tr>
      <w:tr w14:paraId="58C289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5644EC42">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2D28964A">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091A6775">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54FFAD6C">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6FACF1BB">
            <w:pPr>
              <w:widowControl/>
              <w:spacing w:line="360" w:lineRule="auto"/>
              <w:jc w:val="left"/>
              <w:rPr>
                <w:rFonts w:eastAsia="楷体_GB2312"/>
                <w:sz w:val="18"/>
                <w:szCs w:val="18"/>
                <w:lang w:eastAsia="zh-TW"/>
              </w:rPr>
            </w:pPr>
          </w:p>
        </w:tc>
      </w:tr>
      <w:tr w14:paraId="03BCEC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3A238804">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0025D839">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46E4C338">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5122243E">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25D55224">
            <w:pPr>
              <w:widowControl/>
              <w:spacing w:line="360" w:lineRule="auto"/>
              <w:jc w:val="left"/>
              <w:rPr>
                <w:rFonts w:eastAsia="楷体_GB2312"/>
                <w:sz w:val="18"/>
                <w:szCs w:val="18"/>
                <w:lang w:eastAsia="zh-TW"/>
              </w:rPr>
            </w:pPr>
          </w:p>
        </w:tc>
      </w:tr>
      <w:tr w14:paraId="6FD3DA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01DBC149">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6692C32B">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27562490">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2EC56DEC">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6716C6C1">
            <w:pPr>
              <w:widowControl/>
              <w:spacing w:line="360" w:lineRule="auto"/>
              <w:jc w:val="left"/>
              <w:rPr>
                <w:rFonts w:eastAsia="楷体_GB2312"/>
                <w:sz w:val="18"/>
                <w:szCs w:val="18"/>
                <w:lang w:eastAsia="zh-TW"/>
              </w:rPr>
            </w:pPr>
          </w:p>
        </w:tc>
      </w:tr>
      <w:tr w14:paraId="51E8D8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2D5FA79E">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49AE1C0F">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3777461D">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75C99821">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51DE22C6">
            <w:pPr>
              <w:widowControl/>
              <w:spacing w:line="360" w:lineRule="auto"/>
              <w:jc w:val="left"/>
              <w:rPr>
                <w:rFonts w:eastAsia="楷体_GB2312"/>
                <w:sz w:val="18"/>
                <w:szCs w:val="18"/>
                <w:lang w:eastAsia="zh-TW"/>
              </w:rPr>
            </w:pPr>
          </w:p>
        </w:tc>
      </w:tr>
    </w:tbl>
    <w:p w14:paraId="6CBDE72B">
      <w:pPr>
        <w:rPr>
          <w:rFonts w:eastAsia="楷体_GB2312"/>
        </w:rPr>
      </w:pPr>
    </w:p>
    <w:p w14:paraId="4C5A527C">
      <w:pPr>
        <w:widowControl/>
        <w:jc w:val="left"/>
        <w:rPr>
          <w:rFonts w:eastAsia="楷体_GB2312"/>
        </w:rPr>
      </w:pPr>
      <w:r>
        <w:rPr>
          <w:rFonts w:eastAsia="楷体_GB2312"/>
        </w:rPr>
        <w:br w:type="page"/>
      </w:r>
    </w:p>
    <w:p w14:paraId="401B2E3F">
      <w:pPr>
        <w:widowControl/>
        <w:jc w:val="left"/>
        <w:rPr>
          <w:rFonts w:eastAsia="楷体_GB2312"/>
        </w:rPr>
      </w:pPr>
    </w:p>
    <w:tbl>
      <w:tblPr>
        <w:tblStyle w:val="27"/>
        <w:tblW w:w="868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013"/>
        <w:gridCol w:w="1737"/>
        <w:gridCol w:w="2461"/>
        <w:gridCol w:w="2606"/>
      </w:tblGrid>
      <w:tr w14:paraId="79821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692" w:type="dxa"/>
            <w:gridSpan w:val="5"/>
            <w:tcBorders>
              <w:top w:val="single" w:color="auto" w:sz="4" w:space="0"/>
              <w:left w:val="single" w:color="auto" w:sz="4" w:space="0"/>
              <w:bottom w:val="single" w:color="auto" w:sz="4" w:space="0"/>
              <w:right w:val="single" w:color="auto" w:sz="4" w:space="0"/>
            </w:tcBorders>
          </w:tcPr>
          <w:p w14:paraId="6DCA0080">
            <w:pPr>
              <w:widowControl/>
              <w:spacing w:line="360" w:lineRule="auto"/>
              <w:ind w:left="-778" w:leftChars="-389" w:firstLine="956" w:firstLineChars="340"/>
              <w:jc w:val="center"/>
              <w:rPr>
                <w:rFonts w:eastAsia="楷体_GB2312"/>
                <w:b/>
                <w:sz w:val="28"/>
              </w:rPr>
            </w:pPr>
            <w:r>
              <w:rPr>
                <w:rFonts w:eastAsia="楷体_GB2312"/>
                <w:b/>
                <w:sz w:val="28"/>
              </w:rPr>
              <w:t>【信托名称】受托机构报告</w:t>
            </w:r>
          </w:p>
        </w:tc>
      </w:tr>
      <w:tr w14:paraId="47308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92" w:type="dxa"/>
            <w:gridSpan w:val="5"/>
            <w:tcBorders>
              <w:top w:val="single" w:color="auto" w:sz="4" w:space="0"/>
              <w:left w:val="single" w:color="auto" w:sz="4" w:space="0"/>
              <w:bottom w:val="single" w:color="auto" w:sz="4" w:space="0"/>
              <w:right w:val="single" w:color="auto" w:sz="4" w:space="0"/>
            </w:tcBorders>
            <w:shd w:val="clear" w:color="auto" w:fill="FFFFFF"/>
          </w:tcPr>
          <w:p w14:paraId="0DEB3352">
            <w:pPr>
              <w:widowControl/>
              <w:spacing w:line="360" w:lineRule="auto"/>
              <w:jc w:val="left"/>
              <w:rPr>
                <w:rFonts w:eastAsia="楷体_GB2312"/>
                <w:b/>
                <w:szCs w:val="21"/>
              </w:rPr>
            </w:pPr>
            <w:r>
              <w:rPr>
                <w:rFonts w:eastAsia="楷体_GB2312"/>
                <w:b/>
                <w:szCs w:val="21"/>
              </w:rPr>
              <w:t>三、资产池情况</w:t>
            </w:r>
          </w:p>
          <w:p w14:paraId="131C7E93">
            <w:pPr>
              <w:widowControl/>
              <w:spacing w:line="360" w:lineRule="auto"/>
              <w:jc w:val="left"/>
              <w:rPr>
                <w:rFonts w:eastAsia="楷体_GB2312"/>
                <w:bCs/>
                <w:sz w:val="24"/>
              </w:rPr>
            </w:pPr>
            <w:r>
              <w:rPr>
                <w:rFonts w:eastAsia="楷体_GB2312"/>
                <w:bCs/>
                <w:szCs w:val="21"/>
              </w:rPr>
              <w:t>（六）资产池现金流入情况</w:t>
            </w:r>
          </w:p>
        </w:tc>
      </w:tr>
      <w:tr w14:paraId="123E2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tcBorders>
              <w:top w:val="single" w:color="auto" w:sz="4" w:space="0"/>
              <w:left w:val="single" w:color="auto" w:sz="4" w:space="0"/>
              <w:bottom w:val="single" w:color="auto" w:sz="4" w:space="0"/>
              <w:right w:val="single" w:color="auto" w:sz="4" w:space="0"/>
            </w:tcBorders>
          </w:tcPr>
          <w:p w14:paraId="2AB32A93">
            <w:pPr>
              <w:widowControl/>
              <w:spacing w:line="360" w:lineRule="auto"/>
              <w:jc w:val="left"/>
              <w:rPr>
                <w:rFonts w:eastAsia="楷体_GB2312"/>
                <w:szCs w:val="21"/>
              </w:rPr>
            </w:pPr>
          </w:p>
        </w:tc>
        <w:tc>
          <w:tcPr>
            <w:tcW w:w="2752" w:type="dxa"/>
            <w:gridSpan w:val="2"/>
            <w:tcBorders>
              <w:top w:val="single" w:color="auto" w:sz="4" w:space="0"/>
              <w:left w:val="single" w:color="auto" w:sz="4" w:space="0"/>
              <w:bottom w:val="single" w:color="auto" w:sz="4" w:space="0"/>
              <w:right w:val="single" w:color="auto" w:sz="4" w:space="0"/>
            </w:tcBorders>
          </w:tcPr>
          <w:p w14:paraId="36752185">
            <w:pPr>
              <w:widowControl/>
              <w:spacing w:line="360" w:lineRule="auto"/>
              <w:jc w:val="center"/>
              <w:rPr>
                <w:rFonts w:eastAsia="楷体_GB2312"/>
                <w:b/>
                <w:bCs/>
                <w:szCs w:val="21"/>
                <w:lang w:eastAsia="zh-TW"/>
              </w:rPr>
            </w:pPr>
            <w:r>
              <w:rPr>
                <w:rFonts w:eastAsia="楷体_GB2312"/>
                <w:b/>
                <w:bCs/>
                <w:szCs w:val="21"/>
                <w:lang w:eastAsia="zh-TW"/>
              </w:rPr>
              <w:t>科目</w:t>
            </w:r>
          </w:p>
        </w:tc>
        <w:tc>
          <w:tcPr>
            <w:tcW w:w="2463" w:type="dxa"/>
            <w:tcBorders>
              <w:top w:val="single" w:color="auto" w:sz="4" w:space="0"/>
              <w:left w:val="single" w:color="auto" w:sz="4" w:space="0"/>
              <w:bottom w:val="single" w:color="auto" w:sz="4" w:space="0"/>
              <w:right w:val="single" w:color="auto" w:sz="4" w:space="0"/>
            </w:tcBorders>
            <w:shd w:val="clear" w:color="auto" w:fill="FFFFFF"/>
          </w:tcPr>
          <w:p w14:paraId="4693B62B">
            <w:pPr>
              <w:widowControl/>
              <w:spacing w:line="360" w:lineRule="auto"/>
              <w:jc w:val="center"/>
              <w:rPr>
                <w:rFonts w:eastAsia="楷体_GB2312"/>
                <w:b/>
                <w:bCs/>
                <w:szCs w:val="21"/>
                <w:lang w:eastAsia="zh-TW"/>
              </w:rPr>
            </w:pPr>
            <w:r>
              <w:rPr>
                <w:rFonts w:eastAsia="楷体_GB2312"/>
                <w:b/>
                <w:bCs/>
                <w:szCs w:val="21"/>
                <w:lang w:eastAsia="zh-TW"/>
              </w:rPr>
              <w:t>上一报告期</w:t>
            </w:r>
          </w:p>
        </w:tc>
        <w:tc>
          <w:tcPr>
            <w:tcW w:w="2608" w:type="dxa"/>
            <w:tcBorders>
              <w:top w:val="single" w:color="auto" w:sz="4" w:space="0"/>
              <w:left w:val="single" w:color="auto" w:sz="4" w:space="0"/>
              <w:bottom w:val="single" w:color="auto" w:sz="4" w:space="0"/>
              <w:right w:val="single" w:color="auto" w:sz="4" w:space="0"/>
            </w:tcBorders>
            <w:shd w:val="clear" w:color="auto" w:fill="FFFFFF"/>
          </w:tcPr>
          <w:p w14:paraId="2BC07B12">
            <w:pPr>
              <w:widowControl/>
              <w:spacing w:line="360" w:lineRule="auto"/>
              <w:jc w:val="center"/>
              <w:rPr>
                <w:rFonts w:eastAsia="楷体_GB2312"/>
                <w:b/>
                <w:bCs/>
                <w:szCs w:val="21"/>
                <w:lang w:eastAsia="zh-TW"/>
              </w:rPr>
            </w:pPr>
            <w:r>
              <w:rPr>
                <w:rFonts w:eastAsia="楷体_GB2312"/>
                <w:b/>
                <w:bCs/>
                <w:szCs w:val="21"/>
                <w:lang w:eastAsia="zh-TW"/>
              </w:rPr>
              <w:t>本报告期</w:t>
            </w:r>
          </w:p>
        </w:tc>
      </w:tr>
      <w:tr w14:paraId="4B3AB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cBorders>
              <w:top w:val="single" w:color="auto" w:sz="4" w:space="0"/>
              <w:left w:val="single" w:color="auto" w:sz="4" w:space="0"/>
              <w:bottom w:val="single" w:color="auto" w:sz="4" w:space="0"/>
              <w:right w:val="single" w:color="auto" w:sz="4" w:space="0"/>
            </w:tcBorders>
            <w:textDirection w:val="tbRlV"/>
            <w:vAlign w:val="center"/>
          </w:tcPr>
          <w:p w14:paraId="7570ACD3">
            <w:pPr>
              <w:widowControl/>
              <w:spacing w:line="360" w:lineRule="auto"/>
              <w:ind w:left="113" w:right="113"/>
              <w:jc w:val="center"/>
              <w:rPr>
                <w:rFonts w:eastAsia="楷体_GB2312"/>
                <w:b/>
                <w:bCs/>
                <w:szCs w:val="21"/>
              </w:rPr>
            </w:pPr>
            <w:r>
              <w:rPr>
                <w:rFonts w:eastAsia="楷体_GB2312"/>
                <w:b/>
                <w:bCs/>
                <w:szCs w:val="21"/>
                <w:lang w:eastAsia="zh-TW"/>
              </w:rPr>
              <w:t>收入</w:t>
            </w:r>
            <w:r>
              <w:rPr>
                <w:rFonts w:eastAsia="楷体_GB2312"/>
                <w:b/>
                <w:bCs/>
                <w:szCs w:val="21"/>
              </w:rPr>
              <w:t>账</w:t>
            </w:r>
          </w:p>
        </w:tc>
        <w:tc>
          <w:tcPr>
            <w:tcW w:w="1014" w:type="dxa"/>
            <w:vMerge w:val="restart"/>
            <w:tcBorders>
              <w:top w:val="single" w:color="auto" w:sz="4" w:space="0"/>
              <w:left w:val="single" w:color="auto" w:sz="4" w:space="0"/>
              <w:bottom w:val="single" w:color="auto" w:sz="4" w:space="0"/>
              <w:right w:val="single" w:color="auto" w:sz="4" w:space="0"/>
            </w:tcBorders>
            <w:vAlign w:val="center"/>
          </w:tcPr>
          <w:p w14:paraId="7EA31A8D">
            <w:pPr>
              <w:widowControl/>
              <w:spacing w:line="360" w:lineRule="auto"/>
              <w:jc w:val="center"/>
              <w:rPr>
                <w:rFonts w:eastAsia="楷体_GB2312"/>
                <w:szCs w:val="21"/>
                <w:lang w:eastAsia="zh-TW"/>
              </w:rPr>
            </w:pPr>
            <w:r>
              <w:rPr>
                <w:rFonts w:eastAsia="楷体_GB2312"/>
                <w:szCs w:val="21"/>
                <w:lang w:eastAsia="zh-TW"/>
              </w:rPr>
              <w:t>利息</w:t>
            </w:r>
          </w:p>
        </w:tc>
        <w:tc>
          <w:tcPr>
            <w:tcW w:w="1738" w:type="dxa"/>
            <w:tcBorders>
              <w:top w:val="single" w:color="auto" w:sz="4" w:space="0"/>
              <w:left w:val="single" w:color="auto" w:sz="4" w:space="0"/>
              <w:bottom w:val="single" w:color="auto" w:sz="4" w:space="0"/>
              <w:right w:val="single" w:color="auto" w:sz="4" w:space="0"/>
            </w:tcBorders>
          </w:tcPr>
          <w:p w14:paraId="523E95D2">
            <w:pPr>
              <w:widowControl/>
              <w:spacing w:line="360" w:lineRule="auto"/>
              <w:jc w:val="left"/>
              <w:rPr>
                <w:rFonts w:eastAsia="楷体_GB2312"/>
                <w:szCs w:val="21"/>
                <w:lang w:eastAsia="zh-TW"/>
              </w:rPr>
            </w:pPr>
            <w:r>
              <w:rPr>
                <w:rFonts w:eastAsia="楷体_GB2312"/>
                <w:szCs w:val="21"/>
                <w:lang w:eastAsia="zh-TW"/>
              </w:rPr>
              <w:t>正常回收</w:t>
            </w:r>
          </w:p>
        </w:tc>
        <w:tc>
          <w:tcPr>
            <w:tcW w:w="2463" w:type="dxa"/>
            <w:tcBorders>
              <w:top w:val="single" w:color="auto" w:sz="4" w:space="0"/>
              <w:left w:val="single" w:color="auto" w:sz="4" w:space="0"/>
              <w:bottom w:val="single" w:color="auto" w:sz="4" w:space="0"/>
              <w:right w:val="single" w:color="auto" w:sz="4" w:space="0"/>
            </w:tcBorders>
          </w:tcPr>
          <w:p w14:paraId="46068A35">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03F0E2D5">
            <w:pPr>
              <w:widowControl/>
              <w:spacing w:line="360" w:lineRule="auto"/>
              <w:jc w:val="left"/>
              <w:rPr>
                <w:rFonts w:eastAsia="楷体_GB2312"/>
                <w:szCs w:val="21"/>
                <w:lang w:eastAsia="zh-TW"/>
              </w:rPr>
            </w:pPr>
          </w:p>
        </w:tc>
      </w:tr>
      <w:tr w14:paraId="3E7A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2642C1B3">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6A0DB14A">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2A5745BE">
            <w:pPr>
              <w:widowControl/>
              <w:spacing w:line="360" w:lineRule="auto"/>
              <w:jc w:val="left"/>
              <w:rPr>
                <w:rFonts w:eastAsia="楷体_GB2312"/>
                <w:szCs w:val="21"/>
                <w:lang w:eastAsia="zh-TW"/>
              </w:rPr>
            </w:pPr>
            <w:r>
              <w:rPr>
                <w:rFonts w:eastAsia="楷体_GB2312"/>
                <w:szCs w:val="21"/>
                <w:lang w:eastAsia="zh-TW"/>
              </w:rPr>
              <w:t>全部提前偿还</w:t>
            </w:r>
          </w:p>
        </w:tc>
        <w:tc>
          <w:tcPr>
            <w:tcW w:w="2463" w:type="dxa"/>
            <w:tcBorders>
              <w:top w:val="single" w:color="auto" w:sz="4" w:space="0"/>
              <w:left w:val="single" w:color="auto" w:sz="4" w:space="0"/>
              <w:bottom w:val="single" w:color="auto" w:sz="4" w:space="0"/>
              <w:right w:val="single" w:color="auto" w:sz="4" w:space="0"/>
            </w:tcBorders>
          </w:tcPr>
          <w:p w14:paraId="711B460A">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E5ADA6E">
            <w:pPr>
              <w:widowControl/>
              <w:spacing w:line="360" w:lineRule="auto"/>
              <w:jc w:val="left"/>
              <w:rPr>
                <w:rFonts w:eastAsia="楷体_GB2312"/>
                <w:szCs w:val="21"/>
                <w:lang w:eastAsia="zh-TW"/>
              </w:rPr>
            </w:pPr>
          </w:p>
        </w:tc>
      </w:tr>
      <w:tr w14:paraId="4A3B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7C3D2636">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50EFEC43">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1F47AFEB">
            <w:pPr>
              <w:widowControl/>
              <w:spacing w:line="360" w:lineRule="auto"/>
              <w:jc w:val="left"/>
              <w:rPr>
                <w:rFonts w:eastAsia="楷体_GB2312"/>
                <w:szCs w:val="21"/>
                <w:lang w:eastAsia="zh-TW"/>
              </w:rPr>
            </w:pPr>
            <w:r>
              <w:rPr>
                <w:rFonts w:eastAsia="楷体_GB2312"/>
                <w:szCs w:val="21"/>
                <w:lang w:eastAsia="zh-TW"/>
              </w:rPr>
              <w:t>部分提前偿还</w:t>
            </w:r>
          </w:p>
        </w:tc>
        <w:tc>
          <w:tcPr>
            <w:tcW w:w="2463" w:type="dxa"/>
            <w:tcBorders>
              <w:top w:val="single" w:color="auto" w:sz="4" w:space="0"/>
              <w:left w:val="single" w:color="auto" w:sz="4" w:space="0"/>
              <w:bottom w:val="single" w:color="auto" w:sz="4" w:space="0"/>
              <w:right w:val="single" w:color="auto" w:sz="4" w:space="0"/>
            </w:tcBorders>
          </w:tcPr>
          <w:p w14:paraId="1C347B3A">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24682408">
            <w:pPr>
              <w:widowControl/>
              <w:spacing w:line="360" w:lineRule="auto"/>
              <w:jc w:val="left"/>
              <w:rPr>
                <w:rFonts w:eastAsia="楷体_GB2312"/>
                <w:szCs w:val="21"/>
                <w:lang w:eastAsia="zh-TW"/>
              </w:rPr>
            </w:pPr>
          </w:p>
        </w:tc>
      </w:tr>
      <w:tr w14:paraId="27FA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57F141BE">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5D73E9F1">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42E2AD2D">
            <w:pPr>
              <w:widowControl/>
              <w:spacing w:line="360" w:lineRule="auto"/>
              <w:jc w:val="left"/>
              <w:rPr>
                <w:rFonts w:eastAsia="楷体_GB2312"/>
                <w:szCs w:val="21"/>
                <w:lang w:eastAsia="zh-TW"/>
              </w:rPr>
            </w:pPr>
            <w:r>
              <w:rPr>
                <w:rFonts w:eastAsia="楷体_GB2312"/>
                <w:szCs w:val="21"/>
                <w:lang w:eastAsia="zh-TW"/>
              </w:rPr>
              <w:t>拖欠金额</w:t>
            </w:r>
          </w:p>
        </w:tc>
        <w:tc>
          <w:tcPr>
            <w:tcW w:w="2463" w:type="dxa"/>
            <w:tcBorders>
              <w:top w:val="single" w:color="auto" w:sz="4" w:space="0"/>
              <w:left w:val="single" w:color="auto" w:sz="4" w:space="0"/>
              <w:bottom w:val="single" w:color="auto" w:sz="4" w:space="0"/>
              <w:right w:val="single" w:color="auto" w:sz="4" w:space="0"/>
            </w:tcBorders>
          </w:tcPr>
          <w:p w14:paraId="0D1A5D09">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476FD2E6">
            <w:pPr>
              <w:widowControl/>
              <w:spacing w:line="360" w:lineRule="auto"/>
              <w:jc w:val="left"/>
              <w:rPr>
                <w:rFonts w:eastAsia="楷体_GB2312"/>
                <w:szCs w:val="21"/>
                <w:lang w:eastAsia="zh-TW"/>
              </w:rPr>
            </w:pPr>
          </w:p>
        </w:tc>
      </w:tr>
      <w:tr w14:paraId="0B3E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537EAAFE">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3D72B8A0">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7521B09B">
            <w:pPr>
              <w:widowControl/>
              <w:spacing w:line="360" w:lineRule="auto"/>
              <w:jc w:val="left"/>
              <w:rPr>
                <w:rFonts w:eastAsia="楷体_GB2312"/>
                <w:szCs w:val="21"/>
                <w:lang w:eastAsia="zh-TW"/>
              </w:rPr>
            </w:pPr>
            <w:r>
              <w:rPr>
                <w:rFonts w:eastAsia="楷体_GB2312"/>
                <w:szCs w:val="21"/>
                <w:lang w:eastAsia="zh-TW"/>
              </w:rPr>
              <w:t>违约回收</w:t>
            </w:r>
          </w:p>
        </w:tc>
        <w:tc>
          <w:tcPr>
            <w:tcW w:w="2463" w:type="dxa"/>
            <w:tcBorders>
              <w:top w:val="single" w:color="auto" w:sz="4" w:space="0"/>
              <w:left w:val="single" w:color="auto" w:sz="4" w:space="0"/>
              <w:bottom w:val="single" w:color="auto" w:sz="4" w:space="0"/>
              <w:right w:val="single" w:color="auto" w:sz="4" w:space="0"/>
            </w:tcBorders>
          </w:tcPr>
          <w:p w14:paraId="28812C63">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7E909206">
            <w:pPr>
              <w:widowControl/>
              <w:spacing w:line="360" w:lineRule="auto"/>
              <w:jc w:val="left"/>
              <w:rPr>
                <w:rFonts w:eastAsia="楷体_GB2312"/>
                <w:szCs w:val="21"/>
                <w:lang w:eastAsia="zh-TW"/>
              </w:rPr>
            </w:pPr>
          </w:p>
        </w:tc>
      </w:tr>
      <w:tr w14:paraId="798E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0A563D62">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297D809D">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4EBBE0B9">
            <w:pPr>
              <w:widowControl/>
              <w:spacing w:line="360" w:lineRule="auto"/>
              <w:jc w:val="left"/>
              <w:rPr>
                <w:rFonts w:eastAsia="楷体_GB2312"/>
                <w:szCs w:val="21"/>
              </w:rPr>
            </w:pPr>
            <w:r>
              <w:rPr>
                <w:rFonts w:eastAsia="楷体_GB2312"/>
                <w:szCs w:val="21"/>
                <w:lang w:eastAsia="zh-TW"/>
              </w:rPr>
              <w:t>资产赎回</w:t>
            </w:r>
            <w:r>
              <w:rPr>
                <w:rFonts w:eastAsia="楷体_GB2312"/>
                <w:szCs w:val="21"/>
              </w:rPr>
              <w:t>/收购</w:t>
            </w:r>
          </w:p>
        </w:tc>
        <w:tc>
          <w:tcPr>
            <w:tcW w:w="2463" w:type="dxa"/>
            <w:tcBorders>
              <w:top w:val="single" w:color="auto" w:sz="4" w:space="0"/>
              <w:left w:val="single" w:color="auto" w:sz="4" w:space="0"/>
              <w:bottom w:val="single" w:color="auto" w:sz="4" w:space="0"/>
              <w:right w:val="single" w:color="auto" w:sz="4" w:space="0"/>
            </w:tcBorders>
          </w:tcPr>
          <w:p w14:paraId="18A9034F">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26F0A8F8">
            <w:pPr>
              <w:widowControl/>
              <w:spacing w:line="360" w:lineRule="auto"/>
              <w:jc w:val="left"/>
              <w:rPr>
                <w:rFonts w:eastAsia="楷体_GB2312"/>
                <w:szCs w:val="21"/>
                <w:lang w:eastAsia="zh-TW"/>
              </w:rPr>
            </w:pPr>
          </w:p>
        </w:tc>
      </w:tr>
      <w:tr w14:paraId="2135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7DEF56D5">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61E31EA4">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611B5DC1">
            <w:pPr>
              <w:widowControl/>
              <w:spacing w:line="360" w:lineRule="auto"/>
              <w:jc w:val="left"/>
              <w:rPr>
                <w:rFonts w:eastAsia="楷体_GB2312"/>
                <w:szCs w:val="21"/>
                <w:lang w:eastAsia="zh-TW"/>
              </w:rPr>
            </w:pPr>
            <w:r>
              <w:rPr>
                <w:rFonts w:eastAsia="楷体_GB2312"/>
                <w:szCs w:val="21"/>
                <w:lang w:eastAsia="zh-TW"/>
              </w:rPr>
              <w:t>清仓回购</w:t>
            </w:r>
          </w:p>
        </w:tc>
        <w:tc>
          <w:tcPr>
            <w:tcW w:w="2463" w:type="dxa"/>
            <w:tcBorders>
              <w:top w:val="single" w:color="auto" w:sz="4" w:space="0"/>
              <w:left w:val="single" w:color="auto" w:sz="4" w:space="0"/>
              <w:bottom w:val="single" w:color="auto" w:sz="4" w:space="0"/>
              <w:right w:val="single" w:color="auto" w:sz="4" w:space="0"/>
            </w:tcBorders>
          </w:tcPr>
          <w:p w14:paraId="71E8AFB1">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06A91FCD">
            <w:pPr>
              <w:widowControl/>
              <w:spacing w:line="360" w:lineRule="auto"/>
              <w:jc w:val="left"/>
              <w:rPr>
                <w:rFonts w:eastAsia="楷体_GB2312"/>
                <w:szCs w:val="21"/>
                <w:lang w:eastAsia="zh-TW"/>
              </w:rPr>
            </w:pPr>
          </w:p>
        </w:tc>
      </w:tr>
      <w:tr w14:paraId="1A67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23CA6ED9">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280B3E0B">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52580336">
            <w:pPr>
              <w:widowControl/>
              <w:spacing w:line="360" w:lineRule="auto"/>
              <w:jc w:val="left"/>
              <w:rPr>
                <w:rFonts w:eastAsia="楷体_GB2312"/>
                <w:szCs w:val="21"/>
                <w:lang w:eastAsia="zh-TW"/>
              </w:rPr>
            </w:pPr>
            <w:r>
              <w:rPr>
                <w:rFonts w:eastAsia="楷体_GB2312"/>
                <w:szCs w:val="21"/>
                <w:lang w:eastAsia="zh-TW"/>
              </w:rPr>
              <w:t>合计</w:t>
            </w:r>
          </w:p>
        </w:tc>
        <w:tc>
          <w:tcPr>
            <w:tcW w:w="2463" w:type="dxa"/>
            <w:tcBorders>
              <w:top w:val="single" w:color="auto" w:sz="4" w:space="0"/>
              <w:left w:val="single" w:color="auto" w:sz="4" w:space="0"/>
              <w:bottom w:val="single" w:color="auto" w:sz="4" w:space="0"/>
              <w:right w:val="single" w:color="auto" w:sz="4" w:space="0"/>
            </w:tcBorders>
          </w:tcPr>
          <w:p w14:paraId="158018F1">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6E49A5B9">
            <w:pPr>
              <w:widowControl/>
              <w:spacing w:line="360" w:lineRule="auto"/>
              <w:jc w:val="left"/>
              <w:rPr>
                <w:rFonts w:eastAsia="楷体_GB2312"/>
                <w:szCs w:val="21"/>
                <w:lang w:eastAsia="zh-TW"/>
              </w:rPr>
            </w:pPr>
          </w:p>
        </w:tc>
      </w:tr>
      <w:tr w14:paraId="1FA6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124CBA92">
            <w:pPr>
              <w:widowControl/>
              <w:jc w:val="left"/>
              <w:rPr>
                <w:rFonts w:eastAsia="楷体_GB2312"/>
                <w:b/>
                <w:bCs/>
                <w:szCs w:val="21"/>
              </w:rPr>
            </w:pPr>
          </w:p>
        </w:tc>
        <w:tc>
          <w:tcPr>
            <w:tcW w:w="2752" w:type="dxa"/>
            <w:gridSpan w:val="2"/>
            <w:tcBorders>
              <w:top w:val="single" w:color="auto" w:sz="4" w:space="0"/>
              <w:left w:val="single" w:color="auto" w:sz="4" w:space="0"/>
              <w:bottom w:val="single" w:color="auto" w:sz="4" w:space="0"/>
              <w:right w:val="single" w:color="auto" w:sz="4" w:space="0"/>
            </w:tcBorders>
          </w:tcPr>
          <w:p w14:paraId="249E3E45">
            <w:pPr>
              <w:widowControl/>
              <w:spacing w:line="360" w:lineRule="auto"/>
              <w:jc w:val="left"/>
              <w:rPr>
                <w:rFonts w:eastAsia="楷体_GB2312"/>
                <w:szCs w:val="21"/>
                <w:lang w:eastAsia="zh-TW"/>
              </w:rPr>
            </w:pPr>
            <w:r>
              <w:rPr>
                <w:rFonts w:eastAsia="楷体_GB2312"/>
                <w:szCs w:val="21"/>
                <w:lang w:eastAsia="zh-TW"/>
              </w:rPr>
              <w:t>其他收入</w:t>
            </w:r>
          </w:p>
        </w:tc>
        <w:tc>
          <w:tcPr>
            <w:tcW w:w="2463" w:type="dxa"/>
            <w:tcBorders>
              <w:top w:val="single" w:color="auto" w:sz="4" w:space="0"/>
              <w:left w:val="single" w:color="auto" w:sz="4" w:space="0"/>
              <w:bottom w:val="single" w:color="auto" w:sz="4" w:space="0"/>
              <w:right w:val="single" w:color="auto" w:sz="4" w:space="0"/>
            </w:tcBorders>
          </w:tcPr>
          <w:p w14:paraId="65C79EA0">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61D5DDB">
            <w:pPr>
              <w:widowControl/>
              <w:spacing w:line="360" w:lineRule="auto"/>
              <w:jc w:val="left"/>
              <w:rPr>
                <w:rFonts w:eastAsia="楷体_GB2312"/>
                <w:szCs w:val="21"/>
                <w:lang w:eastAsia="zh-TW"/>
              </w:rPr>
            </w:pPr>
          </w:p>
        </w:tc>
      </w:tr>
      <w:tr w14:paraId="70EC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4E9B8C6F">
            <w:pPr>
              <w:widowControl/>
              <w:jc w:val="left"/>
              <w:rPr>
                <w:rFonts w:eastAsia="楷体_GB2312"/>
                <w:b/>
                <w:bCs/>
                <w:szCs w:val="21"/>
              </w:rPr>
            </w:pPr>
          </w:p>
        </w:tc>
        <w:tc>
          <w:tcPr>
            <w:tcW w:w="2752" w:type="dxa"/>
            <w:gridSpan w:val="2"/>
            <w:tcBorders>
              <w:top w:val="single" w:color="auto" w:sz="4" w:space="0"/>
              <w:left w:val="single" w:color="auto" w:sz="4" w:space="0"/>
              <w:bottom w:val="single" w:color="auto" w:sz="4" w:space="0"/>
              <w:right w:val="single" w:color="auto" w:sz="4" w:space="0"/>
            </w:tcBorders>
          </w:tcPr>
          <w:p w14:paraId="4067668D">
            <w:pPr>
              <w:widowControl/>
              <w:spacing w:line="360" w:lineRule="auto"/>
              <w:jc w:val="left"/>
              <w:rPr>
                <w:rFonts w:eastAsia="楷体_GB2312"/>
                <w:szCs w:val="21"/>
                <w:lang w:eastAsia="zh-TW"/>
              </w:rPr>
            </w:pPr>
            <w:r>
              <w:rPr>
                <w:rFonts w:eastAsia="楷体_GB2312"/>
                <w:szCs w:val="21"/>
                <w:lang w:eastAsia="zh-TW"/>
              </w:rPr>
              <w:t>合格投资</w:t>
            </w:r>
          </w:p>
        </w:tc>
        <w:tc>
          <w:tcPr>
            <w:tcW w:w="2463" w:type="dxa"/>
            <w:tcBorders>
              <w:top w:val="single" w:color="auto" w:sz="4" w:space="0"/>
              <w:left w:val="single" w:color="auto" w:sz="4" w:space="0"/>
              <w:bottom w:val="single" w:color="auto" w:sz="4" w:space="0"/>
              <w:right w:val="single" w:color="auto" w:sz="4" w:space="0"/>
            </w:tcBorders>
          </w:tcPr>
          <w:p w14:paraId="59D5FC19">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013532DD">
            <w:pPr>
              <w:widowControl/>
              <w:spacing w:line="360" w:lineRule="auto"/>
              <w:jc w:val="left"/>
              <w:rPr>
                <w:rFonts w:eastAsia="楷体_GB2312"/>
                <w:szCs w:val="21"/>
                <w:lang w:eastAsia="zh-TW"/>
              </w:rPr>
            </w:pPr>
          </w:p>
        </w:tc>
      </w:tr>
      <w:tr w14:paraId="22E78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4C0DB5D6">
            <w:pPr>
              <w:widowControl/>
              <w:jc w:val="left"/>
              <w:rPr>
                <w:rFonts w:eastAsia="楷体_GB2312"/>
                <w:b/>
                <w:bCs/>
                <w:szCs w:val="21"/>
              </w:rPr>
            </w:pPr>
          </w:p>
        </w:tc>
        <w:tc>
          <w:tcPr>
            <w:tcW w:w="2752" w:type="dxa"/>
            <w:gridSpan w:val="2"/>
            <w:tcBorders>
              <w:top w:val="single" w:color="auto" w:sz="4" w:space="0"/>
              <w:left w:val="single" w:color="auto" w:sz="4" w:space="0"/>
              <w:bottom w:val="single" w:color="auto" w:sz="4" w:space="0"/>
              <w:right w:val="single" w:color="auto" w:sz="4" w:space="0"/>
            </w:tcBorders>
          </w:tcPr>
          <w:p w14:paraId="4505A58A">
            <w:pPr>
              <w:widowControl/>
              <w:spacing w:line="360" w:lineRule="auto"/>
              <w:jc w:val="left"/>
              <w:rPr>
                <w:rFonts w:eastAsia="楷体_GB2312"/>
                <w:szCs w:val="21"/>
                <w:lang w:eastAsia="zh-TW"/>
              </w:rPr>
            </w:pPr>
            <w:r>
              <w:rPr>
                <w:rFonts w:eastAsia="楷体_GB2312"/>
                <w:szCs w:val="21"/>
                <w:lang w:eastAsia="zh-TW"/>
              </w:rPr>
              <w:t>合计</w:t>
            </w:r>
          </w:p>
        </w:tc>
        <w:tc>
          <w:tcPr>
            <w:tcW w:w="2463" w:type="dxa"/>
            <w:tcBorders>
              <w:top w:val="single" w:color="auto" w:sz="4" w:space="0"/>
              <w:left w:val="single" w:color="auto" w:sz="4" w:space="0"/>
              <w:bottom w:val="single" w:color="auto" w:sz="4" w:space="0"/>
              <w:right w:val="single" w:color="auto" w:sz="4" w:space="0"/>
            </w:tcBorders>
          </w:tcPr>
          <w:p w14:paraId="04AC6DF6">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66032D23">
            <w:pPr>
              <w:widowControl/>
              <w:spacing w:line="360" w:lineRule="auto"/>
              <w:jc w:val="left"/>
              <w:rPr>
                <w:rFonts w:eastAsia="楷体_GB2312"/>
                <w:szCs w:val="21"/>
                <w:lang w:eastAsia="zh-TW"/>
              </w:rPr>
            </w:pPr>
          </w:p>
        </w:tc>
      </w:tr>
      <w:tr w14:paraId="0B146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cBorders>
              <w:top w:val="single" w:color="auto" w:sz="4" w:space="0"/>
              <w:left w:val="single" w:color="auto" w:sz="4" w:space="0"/>
              <w:bottom w:val="single" w:color="auto" w:sz="4" w:space="0"/>
              <w:right w:val="single" w:color="auto" w:sz="4" w:space="0"/>
            </w:tcBorders>
            <w:textDirection w:val="tbRlV"/>
            <w:vAlign w:val="center"/>
          </w:tcPr>
          <w:p w14:paraId="287712A9">
            <w:pPr>
              <w:widowControl/>
              <w:spacing w:line="360" w:lineRule="auto"/>
              <w:ind w:left="113" w:right="113"/>
              <w:jc w:val="center"/>
              <w:rPr>
                <w:rFonts w:eastAsia="楷体_GB2312"/>
                <w:b/>
                <w:bCs/>
                <w:szCs w:val="21"/>
                <w:lang w:eastAsia="zh-TW"/>
              </w:rPr>
            </w:pPr>
            <w:r>
              <w:rPr>
                <w:rFonts w:eastAsia="楷体_GB2312"/>
                <w:b/>
                <w:bCs/>
                <w:szCs w:val="21"/>
                <w:lang w:eastAsia="zh-TW"/>
              </w:rPr>
              <w:t>本金账</w:t>
            </w:r>
          </w:p>
        </w:tc>
        <w:tc>
          <w:tcPr>
            <w:tcW w:w="1014" w:type="dxa"/>
            <w:vMerge w:val="restart"/>
            <w:tcBorders>
              <w:top w:val="single" w:color="auto" w:sz="4" w:space="0"/>
              <w:left w:val="single" w:color="auto" w:sz="4" w:space="0"/>
              <w:bottom w:val="single" w:color="auto" w:sz="4" w:space="0"/>
              <w:right w:val="single" w:color="auto" w:sz="4" w:space="0"/>
            </w:tcBorders>
            <w:vAlign w:val="center"/>
          </w:tcPr>
          <w:p w14:paraId="7B1395BD">
            <w:pPr>
              <w:widowControl/>
              <w:spacing w:line="360" w:lineRule="auto"/>
              <w:jc w:val="center"/>
              <w:rPr>
                <w:rFonts w:eastAsia="楷体_GB2312"/>
                <w:szCs w:val="21"/>
                <w:lang w:eastAsia="zh-TW"/>
              </w:rPr>
            </w:pPr>
            <w:r>
              <w:rPr>
                <w:rFonts w:eastAsia="楷体_GB2312"/>
                <w:szCs w:val="21"/>
                <w:lang w:eastAsia="zh-TW"/>
              </w:rPr>
              <w:t>本金</w:t>
            </w:r>
          </w:p>
        </w:tc>
        <w:tc>
          <w:tcPr>
            <w:tcW w:w="1738" w:type="dxa"/>
            <w:tcBorders>
              <w:top w:val="single" w:color="auto" w:sz="4" w:space="0"/>
              <w:left w:val="single" w:color="auto" w:sz="4" w:space="0"/>
              <w:bottom w:val="single" w:color="auto" w:sz="4" w:space="0"/>
              <w:right w:val="single" w:color="auto" w:sz="4" w:space="0"/>
            </w:tcBorders>
          </w:tcPr>
          <w:p w14:paraId="39646447">
            <w:pPr>
              <w:widowControl/>
              <w:spacing w:line="360" w:lineRule="auto"/>
              <w:jc w:val="left"/>
              <w:rPr>
                <w:rFonts w:eastAsia="楷体_GB2312"/>
                <w:szCs w:val="21"/>
                <w:lang w:eastAsia="zh-TW"/>
              </w:rPr>
            </w:pPr>
            <w:r>
              <w:rPr>
                <w:rFonts w:eastAsia="楷体_GB2312"/>
                <w:szCs w:val="21"/>
                <w:lang w:eastAsia="zh-TW"/>
              </w:rPr>
              <w:t>正常回收</w:t>
            </w:r>
          </w:p>
        </w:tc>
        <w:tc>
          <w:tcPr>
            <w:tcW w:w="2463" w:type="dxa"/>
            <w:tcBorders>
              <w:top w:val="single" w:color="auto" w:sz="4" w:space="0"/>
              <w:left w:val="single" w:color="auto" w:sz="4" w:space="0"/>
              <w:bottom w:val="single" w:color="auto" w:sz="4" w:space="0"/>
              <w:right w:val="single" w:color="auto" w:sz="4" w:space="0"/>
            </w:tcBorders>
          </w:tcPr>
          <w:p w14:paraId="5B67D1EE">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8ED8502">
            <w:pPr>
              <w:widowControl/>
              <w:spacing w:line="360" w:lineRule="auto"/>
              <w:jc w:val="left"/>
              <w:rPr>
                <w:rFonts w:eastAsia="楷体_GB2312"/>
                <w:szCs w:val="21"/>
                <w:lang w:eastAsia="zh-TW"/>
              </w:rPr>
            </w:pPr>
          </w:p>
        </w:tc>
      </w:tr>
      <w:tr w14:paraId="63FEC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28B22494">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5531FF6E">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7A210B9B">
            <w:pPr>
              <w:widowControl/>
              <w:spacing w:line="360" w:lineRule="auto"/>
              <w:jc w:val="left"/>
              <w:rPr>
                <w:rFonts w:eastAsia="楷体_GB2312"/>
                <w:szCs w:val="21"/>
                <w:lang w:eastAsia="zh-TW"/>
              </w:rPr>
            </w:pPr>
            <w:r>
              <w:rPr>
                <w:rFonts w:eastAsia="楷体_GB2312"/>
                <w:szCs w:val="21"/>
                <w:lang w:eastAsia="zh-TW"/>
              </w:rPr>
              <w:t>全部提前偿还</w:t>
            </w:r>
          </w:p>
        </w:tc>
        <w:tc>
          <w:tcPr>
            <w:tcW w:w="2463" w:type="dxa"/>
            <w:tcBorders>
              <w:top w:val="single" w:color="auto" w:sz="4" w:space="0"/>
              <w:left w:val="single" w:color="auto" w:sz="4" w:space="0"/>
              <w:bottom w:val="single" w:color="auto" w:sz="4" w:space="0"/>
              <w:right w:val="single" w:color="auto" w:sz="4" w:space="0"/>
            </w:tcBorders>
          </w:tcPr>
          <w:p w14:paraId="60C721AF">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52641176">
            <w:pPr>
              <w:widowControl/>
              <w:spacing w:line="360" w:lineRule="auto"/>
              <w:jc w:val="left"/>
              <w:rPr>
                <w:rFonts w:eastAsia="楷体_GB2312"/>
                <w:szCs w:val="21"/>
                <w:lang w:eastAsia="zh-TW"/>
              </w:rPr>
            </w:pPr>
          </w:p>
        </w:tc>
      </w:tr>
      <w:tr w14:paraId="4711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3F737C92">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4C7EC082">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35AC2267">
            <w:pPr>
              <w:widowControl/>
              <w:spacing w:line="360" w:lineRule="auto"/>
              <w:jc w:val="left"/>
              <w:rPr>
                <w:rFonts w:eastAsia="楷体_GB2312"/>
                <w:szCs w:val="21"/>
                <w:lang w:eastAsia="zh-TW"/>
              </w:rPr>
            </w:pPr>
            <w:r>
              <w:rPr>
                <w:rFonts w:eastAsia="楷体_GB2312"/>
                <w:szCs w:val="21"/>
                <w:lang w:eastAsia="zh-TW"/>
              </w:rPr>
              <w:t>部分提前偿还</w:t>
            </w:r>
          </w:p>
        </w:tc>
        <w:tc>
          <w:tcPr>
            <w:tcW w:w="2463" w:type="dxa"/>
            <w:tcBorders>
              <w:top w:val="single" w:color="auto" w:sz="4" w:space="0"/>
              <w:left w:val="single" w:color="auto" w:sz="4" w:space="0"/>
              <w:bottom w:val="single" w:color="auto" w:sz="4" w:space="0"/>
              <w:right w:val="single" w:color="auto" w:sz="4" w:space="0"/>
            </w:tcBorders>
          </w:tcPr>
          <w:p w14:paraId="27B0A7D4">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F2344C3">
            <w:pPr>
              <w:widowControl/>
              <w:spacing w:line="360" w:lineRule="auto"/>
              <w:jc w:val="left"/>
              <w:rPr>
                <w:rFonts w:eastAsia="楷体_GB2312"/>
                <w:szCs w:val="21"/>
                <w:lang w:eastAsia="zh-TW"/>
              </w:rPr>
            </w:pPr>
          </w:p>
        </w:tc>
      </w:tr>
      <w:tr w14:paraId="7BF5E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0CC11843">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66CC7716">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4D018266">
            <w:pPr>
              <w:widowControl/>
              <w:spacing w:line="360" w:lineRule="auto"/>
              <w:jc w:val="left"/>
              <w:rPr>
                <w:rFonts w:eastAsia="楷体_GB2312"/>
                <w:szCs w:val="21"/>
                <w:lang w:eastAsia="zh-TW"/>
              </w:rPr>
            </w:pPr>
            <w:r>
              <w:rPr>
                <w:rFonts w:eastAsia="楷体_GB2312"/>
                <w:szCs w:val="21"/>
                <w:lang w:eastAsia="zh-TW"/>
              </w:rPr>
              <w:t>拖欠金额</w:t>
            </w:r>
          </w:p>
        </w:tc>
        <w:tc>
          <w:tcPr>
            <w:tcW w:w="2463" w:type="dxa"/>
            <w:tcBorders>
              <w:top w:val="single" w:color="auto" w:sz="4" w:space="0"/>
              <w:left w:val="single" w:color="auto" w:sz="4" w:space="0"/>
              <w:bottom w:val="single" w:color="auto" w:sz="4" w:space="0"/>
              <w:right w:val="single" w:color="auto" w:sz="4" w:space="0"/>
            </w:tcBorders>
          </w:tcPr>
          <w:p w14:paraId="4DF4631D">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38B2421">
            <w:pPr>
              <w:widowControl/>
              <w:spacing w:line="360" w:lineRule="auto"/>
              <w:jc w:val="left"/>
              <w:rPr>
                <w:rFonts w:eastAsia="楷体_GB2312"/>
                <w:szCs w:val="21"/>
                <w:lang w:eastAsia="zh-TW"/>
              </w:rPr>
            </w:pPr>
          </w:p>
        </w:tc>
      </w:tr>
      <w:tr w14:paraId="1676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2302F4E8">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437A1C5B">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3E9EB21D">
            <w:pPr>
              <w:widowControl/>
              <w:spacing w:line="360" w:lineRule="auto"/>
              <w:jc w:val="left"/>
              <w:rPr>
                <w:rFonts w:eastAsia="楷体_GB2312"/>
                <w:szCs w:val="21"/>
                <w:lang w:eastAsia="zh-TW"/>
              </w:rPr>
            </w:pPr>
            <w:r>
              <w:rPr>
                <w:rFonts w:eastAsia="楷体_GB2312"/>
                <w:szCs w:val="21"/>
                <w:lang w:eastAsia="zh-TW"/>
              </w:rPr>
              <w:t>违约回收</w:t>
            </w:r>
          </w:p>
        </w:tc>
        <w:tc>
          <w:tcPr>
            <w:tcW w:w="2463" w:type="dxa"/>
            <w:tcBorders>
              <w:top w:val="single" w:color="auto" w:sz="4" w:space="0"/>
              <w:left w:val="single" w:color="auto" w:sz="4" w:space="0"/>
              <w:bottom w:val="single" w:color="auto" w:sz="4" w:space="0"/>
              <w:right w:val="single" w:color="auto" w:sz="4" w:space="0"/>
            </w:tcBorders>
          </w:tcPr>
          <w:p w14:paraId="6923E151">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2087D803">
            <w:pPr>
              <w:widowControl/>
              <w:spacing w:line="360" w:lineRule="auto"/>
              <w:jc w:val="left"/>
              <w:rPr>
                <w:rFonts w:eastAsia="楷体_GB2312"/>
                <w:szCs w:val="21"/>
                <w:lang w:eastAsia="zh-TW"/>
              </w:rPr>
            </w:pPr>
          </w:p>
        </w:tc>
      </w:tr>
      <w:tr w14:paraId="54DC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64D836DB">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55BD5F6D">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5D02B9B4">
            <w:pPr>
              <w:widowControl/>
              <w:spacing w:line="360" w:lineRule="auto"/>
              <w:jc w:val="left"/>
              <w:rPr>
                <w:rFonts w:eastAsia="楷体_GB2312"/>
                <w:szCs w:val="21"/>
              </w:rPr>
            </w:pPr>
            <w:r>
              <w:rPr>
                <w:rFonts w:eastAsia="楷体_GB2312"/>
                <w:szCs w:val="21"/>
                <w:lang w:eastAsia="zh-TW"/>
              </w:rPr>
              <w:t>资产赎回</w:t>
            </w:r>
            <w:r>
              <w:rPr>
                <w:rFonts w:eastAsia="楷体_GB2312"/>
                <w:szCs w:val="21"/>
              </w:rPr>
              <w:t>/收购</w:t>
            </w:r>
          </w:p>
        </w:tc>
        <w:tc>
          <w:tcPr>
            <w:tcW w:w="2463" w:type="dxa"/>
            <w:tcBorders>
              <w:top w:val="single" w:color="auto" w:sz="4" w:space="0"/>
              <w:left w:val="single" w:color="auto" w:sz="4" w:space="0"/>
              <w:bottom w:val="single" w:color="auto" w:sz="4" w:space="0"/>
              <w:right w:val="single" w:color="auto" w:sz="4" w:space="0"/>
            </w:tcBorders>
          </w:tcPr>
          <w:p w14:paraId="4C9B17D0">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74ED7634">
            <w:pPr>
              <w:widowControl/>
              <w:spacing w:line="360" w:lineRule="auto"/>
              <w:jc w:val="left"/>
              <w:rPr>
                <w:rFonts w:eastAsia="楷体_GB2312"/>
                <w:szCs w:val="21"/>
                <w:lang w:eastAsia="zh-TW"/>
              </w:rPr>
            </w:pPr>
          </w:p>
        </w:tc>
      </w:tr>
      <w:tr w14:paraId="7FE67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2E44A701">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1AC7A07D">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7764AE0E">
            <w:pPr>
              <w:widowControl/>
              <w:spacing w:line="360" w:lineRule="auto"/>
              <w:jc w:val="left"/>
              <w:rPr>
                <w:rFonts w:eastAsia="楷体_GB2312"/>
                <w:szCs w:val="21"/>
                <w:lang w:eastAsia="zh-TW"/>
              </w:rPr>
            </w:pPr>
            <w:r>
              <w:rPr>
                <w:rFonts w:eastAsia="楷体_GB2312"/>
                <w:szCs w:val="21"/>
                <w:lang w:eastAsia="zh-TW"/>
              </w:rPr>
              <w:t>清仓回购</w:t>
            </w:r>
          </w:p>
        </w:tc>
        <w:tc>
          <w:tcPr>
            <w:tcW w:w="2463" w:type="dxa"/>
            <w:tcBorders>
              <w:top w:val="single" w:color="auto" w:sz="4" w:space="0"/>
              <w:left w:val="single" w:color="auto" w:sz="4" w:space="0"/>
              <w:bottom w:val="single" w:color="auto" w:sz="4" w:space="0"/>
              <w:right w:val="single" w:color="auto" w:sz="4" w:space="0"/>
            </w:tcBorders>
          </w:tcPr>
          <w:p w14:paraId="6C763656">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0E0F66C6">
            <w:pPr>
              <w:widowControl/>
              <w:spacing w:line="360" w:lineRule="auto"/>
              <w:jc w:val="left"/>
              <w:rPr>
                <w:rFonts w:eastAsia="楷体_GB2312"/>
                <w:szCs w:val="21"/>
                <w:lang w:eastAsia="zh-TW"/>
              </w:rPr>
            </w:pPr>
          </w:p>
        </w:tc>
      </w:tr>
      <w:tr w14:paraId="6BB1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46B7F82D">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1AB8B4AF">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3AF86B5A">
            <w:pPr>
              <w:widowControl/>
              <w:spacing w:line="360" w:lineRule="auto"/>
              <w:jc w:val="left"/>
              <w:rPr>
                <w:rFonts w:eastAsia="楷体_GB2312"/>
                <w:szCs w:val="21"/>
                <w:lang w:eastAsia="zh-TW"/>
              </w:rPr>
            </w:pPr>
            <w:r>
              <w:rPr>
                <w:rFonts w:eastAsia="楷体_GB2312"/>
                <w:szCs w:val="21"/>
                <w:lang w:eastAsia="zh-TW"/>
              </w:rPr>
              <w:t>合计</w:t>
            </w:r>
          </w:p>
        </w:tc>
        <w:tc>
          <w:tcPr>
            <w:tcW w:w="2463" w:type="dxa"/>
            <w:tcBorders>
              <w:top w:val="single" w:color="auto" w:sz="4" w:space="0"/>
              <w:left w:val="single" w:color="auto" w:sz="4" w:space="0"/>
              <w:bottom w:val="single" w:color="auto" w:sz="4" w:space="0"/>
              <w:right w:val="single" w:color="auto" w:sz="4" w:space="0"/>
            </w:tcBorders>
          </w:tcPr>
          <w:p w14:paraId="673B2400">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62E0F8B4">
            <w:pPr>
              <w:widowControl/>
              <w:spacing w:line="360" w:lineRule="auto"/>
              <w:jc w:val="left"/>
              <w:rPr>
                <w:rFonts w:eastAsia="楷体_GB2312"/>
                <w:szCs w:val="21"/>
                <w:lang w:eastAsia="zh-TW"/>
              </w:rPr>
            </w:pPr>
          </w:p>
        </w:tc>
      </w:tr>
      <w:tr w14:paraId="371B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2451FFD5">
            <w:pPr>
              <w:widowControl/>
              <w:jc w:val="left"/>
              <w:rPr>
                <w:rFonts w:eastAsia="楷体_GB2312"/>
                <w:b/>
                <w:bCs/>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78D04659">
            <w:pPr>
              <w:widowControl/>
              <w:spacing w:line="360" w:lineRule="auto"/>
              <w:jc w:val="left"/>
              <w:rPr>
                <w:rFonts w:eastAsia="楷体_GB2312"/>
                <w:szCs w:val="21"/>
                <w:lang w:eastAsia="zh-TW"/>
              </w:rPr>
            </w:pPr>
            <w:r>
              <w:rPr>
                <w:rFonts w:eastAsia="楷体_GB2312"/>
                <w:szCs w:val="21"/>
                <w:lang w:eastAsia="zh-TW"/>
              </w:rPr>
              <w:t>其他收入</w:t>
            </w:r>
          </w:p>
        </w:tc>
        <w:tc>
          <w:tcPr>
            <w:tcW w:w="2463" w:type="dxa"/>
            <w:tcBorders>
              <w:top w:val="single" w:color="auto" w:sz="4" w:space="0"/>
              <w:left w:val="single" w:color="auto" w:sz="4" w:space="0"/>
              <w:bottom w:val="single" w:color="auto" w:sz="4" w:space="0"/>
              <w:right w:val="single" w:color="auto" w:sz="4" w:space="0"/>
            </w:tcBorders>
          </w:tcPr>
          <w:p w14:paraId="6927B878">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3DCC26A">
            <w:pPr>
              <w:widowControl/>
              <w:spacing w:line="360" w:lineRule="auto"/>
              <w:jc w:val="left"/>
              <w:rPr>
                <w:rFonts w:eastAsia="楷体_GB2312"/>
                <w:szCs w:val="21"/>
                <w:lang w:eastAsia="zh-TW"/>
              </w:rPr>
            </w:pPr>
          </w:p>
        </w:tc>
      </w:tr>
      <w:tr w14:paraId="36A7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27F87D6A">
            <w:pPr>
              <w:widowControl/>
              <w:jc w:val="left"/>
              <w:rPr>
                <w:rFonts w:eastAsia="楷体_GB2312"/>
                <w:b/>
                <w:bCs/>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02F00F8C">
            <w:pPr>
              <w:widowControl/>
              <w:spacing w:line="360" w:lineRule="auto"/>
              <w:jc w:val="left"/>
              <w:rPr>
                <w:rFonts w:eastAsia="楷体_GB2312"/>
                <w:szCs w:val="21"/>
                <w:lang w:eastAsia="zh-TW"/>
              </w:rPr>
            </w:pPr>
            <w:r>
              <w:rPr>
                <w:rFonts w:eastAsia="楷体_GB2312"/>
                <w:szCs w:val="21"/>
                <w:lang w:eastAsia="zh-TW"/>
              </w:rPr>
              <w:t>上期转存</w:t>
            </w:r>
          </w:p>
        </w:tc>
        <w:tc>
          <w:tcPr>
            <w:tcW w:w="2463" w:type="dxa"/>
            <w:tcBorders>
              <w:top w:val="single" w:color="auto" w:sz="4" w:space="0"/>
              <w:left w:val="single" w:color="auto" w:sz="4" w:space="0"/>
              <w:bottom w:val="single" w:color="auto" w:sz="4" w:space="0"/>
              <w:right w:val="single" w:color="auto" w:sz="4" w:space="0"/>
            </w:tcBorders>
          </w:tcPr>
          <w:p w14:paraId="4E911EA3">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0513693">
            <w:pPr>
              <w:widowControl/>
              <w:spacing w:line="360" w:lineRule="auto"/>
              <w:jc w:val="left"/>
              <w:rPr>
                <w:rFonts w:eastAsia="楷体_GB2312"/>
                <w:szCs w:val="21"/>
                <w:lang w:eastAsia="zh-TW"/>
              </w:rPr>
            </w:pPr>
          </w:p>
        </w:tc>
      </w:tr>
      <w:tr w14:paraId="4A8F5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4FA74347">
            <w:pPr>
              <w:widowControl/>
              <w:jc w:val="left"/>
              <w:rPr>
                <w:rFonts w:eastAsia="楷体_GB2312"/>
                <w:b/>
                <w:bCs/>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5ECCD30F">
            <w:pPr>
              <w:widowControl/>
              <w:spacing w:line="360" w:lineRule="auto"/>
              <w:jc w:val="left"/>
              <w:rPr>
                <w:rFonts w:eastAsia="楷体_GB2312"/>
                <w:szCs w:val="21"/>
                <w:lang w:eastAsia="zh-TW"/>
              </w:rPr>
            </w:pPr>
            <w:r>
              <w:rPr>
                <w:rFonts w:eastAsia="楷体_GB2312"/>
                <w:szCs w:val="21"/>
                <w:lang w:eastAsia="zh-TW"/>
              </w:rPr>
              <w:t>合计</w:t>
            </w:r>
          </w:p>
        </w:tc>
        <w:tc>
          <w:tcPr>
            <w:tcW w:w="2463" w:type="dxa"/>
            <w:tcBorders>
              <w:top w:val="single" w:color="auto" w:sz="4" w:space="0"/>
              <w:left w:val="single" w:color="auto" w:sz="4" w:space="0"/>
              <w:bottom w:val="single" w:color="auto" w:sz="4" w:space="0"/>
              <w:right w:val="single" w:color="auto" w:sz="4" w:space="0"/>
            </w:tcBorders>
          </w:tcPr>
          <w:p w14:paraId="72C9BF3D">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40BA6A5E">
            <w:pPr>
              <w:widowControl/>
              <w:spacing w:line="360" w:lineRule="auto"/>
              <w:jc w:val="left"/>
              <w:rPr>
                <w:rFonts w:eastAsia="楷体_GB2312"/>
                <w:szCs w:val="21"/>
                <w:lang w:eastAsia="zh-TW"/>
              </w:rPr>
            </w:pPr>
          </w:p>
        </w:tc>
      </w:tr>
      <w:tr w14:paraId="593EB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tcBorders>
              <w:top w:val="single" w:color="auto" w:sz="4" w:space="0"/>
              <w:left w:val="single" w:color="auto" w:sz="4" w:space="0"/>
              <w:bottom w:val="single" w:color="auto" w:sz="4" w:space="0"/>
              <w:right w:val="single" w:color="auto" w:sz="4" w:space="0"/>
            </w:tcBorders>
          </w:tcPr>
          <w:p w14:paraId="79296A34">
            <w:pPr>
              <w:widowControl/>
              <w:spacing w:line="360" w:lineRule="auto"/>
              <w:jc w:val="left"/>
              <w:rPr>
                <w:rFonts w:eastAsia="楷体_GB2312"/>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44DC49F2">
            <w:pPr>
              <w:widowControl/>
              <w:spacing w:line="360" w:lineRule="auto"/>
              <w:jc w:val="left"/>
              <w:rPr>
                <w:rFonts w:eastAsia="楷体_GB2312"/>
                <w:szCs w:val="21"/>
                <w:lang w:eastAsia="zh-TW"/>
              </w:rPr>
            </w:pPr>
            <w:r>
              <w:rPr>
                <w:rFonts w:eastAsia="楷体_GB2312"/>
                <w:szCs w:val="21"/>
                <w:lang w:eastAsia="zh-TW"/>
              </w:rPr>
              <w:t>科目</w:t>
            </w:r>
          </w:p>
        </w:tc>
        <w:tc>
          <w:tcPr>
            <w:tcW w:w="2463" w:type="dxa"/>
            <w:tcBorders>
              <w:top w:val="single" w:color="auto" w:sz="4" w:space="0"/>
              <w:left w:val="single" w:color="auto" w:sz="4" w:space="0"/>
              <w:bottom w:val="single" w:color="auto" w:sz="4" w:space="0"/>
              <w:right w:val="single" w:color="auto" w:sz="4" w:space="0"/>
            </w:tcBorders>
          </w:tcPr>
          <w:p w14:paraId="520DA8E5">
            <w:pPr>
              <w:widowControl/>
              <w:spacing w:line="360" w:lineRule="auto"/>
              <w:jc w:val="center"/>
              <w:rPr>
                <w:rFonts w:eastAsia="楷体_GB2312"/>
                <w:szCs w:val="21"/>
                <w:lang w:eastAsia="zh-TW"/>
              </w:rPr>
            </w:pPr>
            <w:r>
              <w:rPr>
                <w:rFonts w:eastAsia="楷体_GB2312"/>
                <w:b/>
                <w:bCs/>
                <w:szCs w:val="21"/>
                <w:lang w:eastAsia="zh-TW"/>
              </w:rPr>
              <w:t>上一报告期</w:t>
            </w:r>
          </w:p>
        </w:tc>
        <w:tc>
          <w:tcPr>
            <w:tcW w:w="2608" w:type="dxa"/>
            <w:tcBorders>
              <w:top w:val="single" w:color="auto" w:sz="4" w:space="0"/>
              <w:left w:val="single" w:color="auto" w:sz="4" w:space="0"/>
              <w:bottom w:val="single" w:color="auto" w:sz="4" w:space="0"/>
              <w:right w:val="single" w:color="auto" w:sz="4" w:space="0"/>
            </w:tcBorders>
          </w:tcPr>
          <w:p w14:paraId="71154D2D">
            <w:pPr>
              <w:widowControl/>
              <w:spacing w:line="360" w:lineRule="auto"/>
              <w:jc w:val="center"/>
              <w:rPr>
                <w:rFonts w:eastAsia="楷体_GB2312"/>
                <w:szCs w:val="21"/>
                <w:lang w:eastAsia="zh-TW"/>
              </w:rPr>
            </w:pPr>
            <w:r>
              <w:rPr>
                <w:rFonts w:eastAsia="楷体_GB2312"/>
                <w:b/>
                <w:bCs/>
                <w:szCs w:val="21"/>
                <w:lang w:eastAsia="zh-TW"/>
              </w:rPr>
              <w:t>本报告期</w:t>
            </w:r>
          </w:p>
        </w:tc>
      </w:tr>
      <w:tr w14:paraId="256E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cBorders>
              <w:top w:val="single" w:color="auto" w:sz="4" w:space="0"/>
              <w:left w:val="single" w:color="auto" w:sz="4" w:space="0"/>
              <w:bottom w:val="single" w:color="auto" w:sz="4" w:space="0"/>
              <w:right w:val="single" w:color="auto" w:sz="4" w:space="0"/>
            </w:tcBorders>
          </w:tcPr>
          <w:p w14:paraId="571CE212">
            <w:pPr>
              <w:widowControl/>
              <w:spacing w:line="360" w:lineRule="auto"/>
              <w:jc w:val="left"/>
              <w:rPr>
                <w:rFonts w:eastAsia="楷体_GB2312"/>
                <w:szCs w:val="21"/>
                <w:lang w:eastAsia="zh-TW"/>
              </w:rPr>
            </w:pPr>
            <w:r>
              <w:rPr>
                <w:rFonts w:eastAsia="楷体_GB2312"/>
                <w:szCs w:val="21"/>
                <w:lang w:eastAsia="zh-TW"/>
              </w:rPr>
              <w:t>税费支出</w:t>
            </w:r>
          </w:p>
        </w:tc>
        <w:tc>
          <w:tcPr>
            <w:tcW w:w="2752" w:type="dxa"/>
            <w:gridSpan w:val="2"/>
            <w:tcBorders>
              <w:top w:val="single" w:color="auto" w:sz="4" w:space="0"/>
              <w:left w:val="single" w:color="auto" w:sz="4" w:space="0"/>
              <w:bottom w:val="single" w:color="auto" w:sz="4" w:space="0"/>
              <w:right w:val="single" w:color="auto" w:sz="4" w:space="0"/>
            </w:tcBorders>
          </w:tcPr>
          <w:p w14:paraId="0A19B165">
            <w:pPr>
              <w:widowControl/>
              <w:spacing w:line="360" w:lineRule="auto"/>
              <w:jc w:val="left"/>
              <w:rPr>
                <w:rFonts w:eastAsia="楷体_GB2312"/>
                <w:szCs w:val="21"/>
                <w:lang w:eastAsia="zh-TW"/>
              </w:rPr>
            </w:pPr>
            <w:r>
              <w:rPr>
                <w:rFonts w:eastAsia="楷体_GB2312"/>
                <w:szCs w:val="21"/>
                <w:lang w:eastAsia="zh-TW"/>
              </w:rPr>
              <w:t>税收</w:t>
            </w:r>
          </w:p>
        </w:tc>
        <w:tc>
          <w:tcPr>
            <w:tcW w:w="2463" w:type="dxa"/>
            <w:tcBorders>
              <w:top w:val="single" w:color="auto" w:sz="4" w:space="0"/>
              <w:left w:val="single" w:color="auto" w:sz="4" w:space="0"/>
              <w:bottom w:val="single" w:color="auto" w:sz="4" w:space="0"/>
              <w:right w:val="single" w:color="auto" w:sz="4" w:space="0"/>
            </w:tcBorders>
          </w:tcPr>
          <w:p w14:paraId="16B735E7">
            <w:pPr>
              <w:widowControl/>
              <w:spacing w:line="360" w:lineRule="auto"/>
              <w:jc w:val="center"/>
              <w:rPr>
                <w:rFonts w:eastAsia="楷体_GB2312"/>
                <w:b/>
                <w:bCs/>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0D9B99F7">
            <w:pPr>
              <w:widowControl/>
              <w:spacing w:line="360" w:lineRule="auto"/>
              <w:jc w:val="center"/>
              <w:rPr>
                <w:rFonts w:eastAsia="楷体_GB2312"/>
                <w:b/>
                <w:bCs/>
                <w:szCs w:val="21"/>
                <w:lang w:eastAsia="zh-TW"/>
              </w:rPr>
            </w:pPr>
          </w:p>
        </w:tc>
      </w:tr>
      <w:tr w14:paraId="009F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1431D622">
            <w:pPr>
              <w:widowControl/>
              <w:jc w:val="left"/>
              <w:rPr>
                <w:rFonts w:eastAsia="楷体_GB2312"/>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56F0A40D">
            <w:pPr>
              <w:widowControl/>
              <w:spacing w:line="360" w:lineRule="auto"/>
              <w:jc w:val="left"/>
              <w:rPr>
                <w:rFonts w:eastAsia="楷体_GB2312"/>
                <w:szCs w:val="21"/>
                <w:lang w:eastAsia="zh-TW"/>
              </w:rPr>
            </w:pPr>
            <w:r>
              <w:rPr>
                <w:rFonts w:eastAsia="楷体_GB2312"/>
                <w:szCs w:val="21"/>
                <w:lang w:eastAsia="zh-TW"/>
              </w:rPr>
              <w:t>服务总费用</w:t>
            </w:r>
          </w:p>
        </w:tc>
        <w:tc>
          <w:tcPr>
            <w:tcW w:w="2463" w:type="dxa"/>
            <w:tcBorders>
              <w:top w:val="single" w:color="auto" w:sz="4" w:space="0"/>
              <w:left w:val="single" w:color="auto" w:sz="4" w:space="0"/>
              <w:bottom w:val="single" w:color="auto" w:sz="4" w:space="0"/>
              <w:right w:val="single" w:color="auto" w:sz="4" w:space="0"/>
            </w:tcBorders>
          </w:tcPr>
          <w:p w14:paraId="68D26E6C">
            <w:pPr>
              <w:widowControl/>
              <w:spacing w:line="360" w:lineRule="auto"/>
              <w:jc w:val="right"/>
              <w:rPr>
                <w:rFonts w:eastAsia="楷体_GB2312"/>
                <w:b/>
                <w:bCs/>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6BE30E0F">
            <w:pPr>
              <w:widowControl/>
              <w:spacing w:line="360" w:lineRule="auto"/>
              <w:jc w:val="left"/>
              <w:rPr>
                <w:rFonts w:eastAsia="楷体_GB2312"/>
                <w:b/>
                <w:bCs/>
                <w:szCs w:val="21"/>
                <w:lang w:eastAsia="zh-TW"/>
              </w:rPr>
            </w:pPr>
          </w:p>
        </w:tc>
      </w:tr>
      <w:tr w14:paraId="58F2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768F9412">
            <w:pPr>
              <w:widowControl/>
              <w:jc w:val="left"/>
              <w:rPr>
                <w:rFonts w:eastAsia="楷体_GB2312"/>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7D307743">
            <w:pPr>
              <w:widowControl/>
              <w:spacing w:line="360" w:lineRule="auto"/>
              <w:jc w:val="left"/>
              <w:rPr>
                <w:rFonts w:eastAsia="楷体_GB2312"/>
                <w:szCs w:val="21"/>
                <w:lang w:eastAsia="zh-TW"/>
              </w:rPr>
            </w:pPr>
            <w:r>
              <w:rPr>
                <w:rFonts w:eastAsia="楷体_GB2312"/>
                <w:szCs w:val="21"/>
                <w:lang w:eastAsia="zh-TW"/>
              </w:rPr>
              <w:t>费用支出</w:t>
            </w:r>
          </w:p>
        </w:tc>
        <w:tc>
          <w:tcPr>
            <w:tcW w:w="2463" w:type="dxa"/>
            <w:tcBorders>
              <w:top w:val="single" w:color="auto" w:sz="4" w:space="0"/>
              <w:left w:val="single" w:color="auto" w:sz="4" w:space="0"/>
              <w:bottom w:val="single" w:color="auto" w:sz="4" w:space="0"/>
              <w:right w:val="single" w:color="auto" w:sz="4" w:space="0"/>
            </w:tcBorders>
          </w:tcPr>
          <w:p w14:paraId="475C5354">
            <w:pPr>
              <w:widowControl/>
              <w:spacing w:line="360" w:lineRule="auto"/>
              <w:jc w:val="right"/>
              <w:rPr>
                <w:rFonts w:eastAsia="楷体_GB2312"/>
                <w:b/>
                <w:bCs/>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BF59F73">
            <w:pPr>
              <w:widowControl/>
              <w:spacing w:line="360" w:lineRule="auto"/>
              <w:jc w:val="left"/>
              <w:rPr>
                <w:rFonts w:eastAsia="楷体_GB2312"/>
                <w:b/>
                <w:bCs/>
                <w:szCs w:val="21"/>
                <w:lang w:eastAsia="zh-TW"/>
              </w:rPr>
            </w:pPr>
          </w:p>
        </w:tc>
      </w:tr>
      <w:tr w14:paraId="24D0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8" w:type="dxa"/>
            <w:vMerge w:val="restart"/>
            <w:tcBorders>
              <w:top w:val="single" w:color="auto" w:sz="4" w:space="0"/>
              <w:left w:val="single" w:color="auto" w:sz="4" w:space="0"/>
              <w:bottom w:val="single" w:color="auto" w:sz="4" w:space="0"/>
              <w:right w:val="single" w:color="auto" w:sz="4" w:space="0"/>
            </w:tcBorders>
          </w:tcPr>
          <w:p w14:paraId="74003E83">
            <w:pPr>
              <w:widowControl/>
              <w:spacing w:line="360" w:lineRule="auto"/>
              <w:jc w:val="left"/>
              <w:rPr>
                <w:rFonts w:eastAsia="楷体_GB2312"/>
                <w:szCs w:val="21"/>
                <w:lang w:eastAsia="zh-TW"/>
              </w:rPr>
            </w:pPr>
            <w:r>
              <w:rPr>
                <w:rFonts w:eastAsia="楷体_GB2312"/>
                <w:szCs w:val="21"/>
                <w:lang w:eastAsia="zh-TW"/>
              </w:rPr>
              <w:t>证券兑付</w:t>
            </w:r>
          </w:p>
        </w:tc>
        <w:tc>
          <w:tcPr>
            <w:tcW w:w="2750" w:type="dxa"/>
            <w:gridSpan w:val="2"/>
            <w:tcBorders>
              <w:top w:val="single" w:color="auto" w:sz="4" w:space="0"/>
              <w:left w:val="single" w:color="auto" w:sz="4" w:space="0"/>
              <w:bottom w:val="single" w:color="auto" w:sz="4" w:space="0"/>
              <w:right w:val="single" w:color="auto" w:sz="4" w:space="0"/>
            </w:tcBorders>
          </w:tcPr>
          <w:p w14:paraId="486B1E47">
            <w:pPr>
              <w:widowControl/>
              <w:spacing w:line="360" w:lineRule="auto"/>
              <w:jc w:val="left"/>
              <w:rPr>
                <w:rFonts w:eastAsia="楷体_GB2312"/>
                <w:szCs w:val="21"/>
                <w:lang w:eastAsia="zh-TW"/>
              </w:rPr>
            </w:pPr>
            <w:r>
              <w:rPr>
                <w:rFonts w:eastAsia="楷体_GB2312"/>
                <w:szCs w:val="21"/>
                <w:lang w:eastAsia="zh-TW"/>
              </w:rPr>
              <w:t>证券利息总支出</w:t>
            </w:r>
          </w:p>
        </w:tc>
        <w:tc>
          <w:tcPr>
            <w:tcW w:w="2461" w:type="dxa"/>
            <w:tcBorders>
              <w:top w:val="single" w:color="auto" w:sz="4" w:space="0"/>
              <w:left w:val="single" w:color="auto" w:sz="4" w:space="0"/>
              <w:bottom w:val="single" w:color="auto" w:sz="4" w:space="0"/>
              <w:right w:val="single" w:color="auto" w:sz="4" w:space="0"/>
            </w:tcBorders>
          </w:tcPr>
          <w:p w14:paraId="507558D7">
            <w:pPr>
              <w:widowControl/>
              <w:spacing w:line="360" w:lineRule="auto"/>
              <w:jc w:val="right"/>
              <w:rPr>
                <w:rFonts w:eastAsia="楷体_GB2312"/>
                <w:b/>
                <w:bCs/>
                <w:szCs w:val="21"/>
                <w:lang w:eastAsia="zh-TW"/>
              </w:rPr>
            </w:pPr>
          </w:p>
        </w:tc>
        <w:tc>
          <w:tcPr>
            <w:tcW w:w="2606" w:type="dxa"/>
            <w:tcBorders>
              <w:top w:val="single" w:color="auto" w:sz="4" w:space="0"/>
              <w:left w:val="single" w:color="auto" w:sz="4" w:space="0"/>
              <w:bottom w:val="single" w:color="auto" w:sz="4" w:space="0"/>
              <w:right w:val="single" w:color="auto" w:sz="4" w:space="0"/>
            </w:tcBorders>
          </w:tcPr>
          <w:p w14:paraId="40DE2226">
            <w:pPr>
              <w:widowControl/>
              <w:spacing w:line="360" w:lineRule="auto"/>
              <w:jc w:val="left"/>
              <w:rPr>
                <w:rFonts w:eastAsia="楷体_GB2312"/>
                <w:b/>
                <w:bCs/>
                <w:szCs w:val="21"/>
                <w:lang w:eastAsia="zh-TW"/>
              </w:rPr>
            </w:pPr>
          </w:p>
        </w:tc>
      </w:tr>
      <w:tr w14:paraId="25C5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8" w:type="dxa"/>
            <w:vMerge w:val="continue"/>
            <w:tcBorders>
              <w:top w:val="single" w:color="auto" w:sz="4" w:space="0"/>
              <w:left w:val="single" w:color="auto" w:sz="4" w:space="0"/>
              <w:bottom w:val="single" w:color="auto" w:sz="4" w:space="0"/>
              <w:right w:val="single" w:color="auto" w:sz="4" w:space="0"/>
            </w:tcBorders>
            <w:vAlign w:val="center"/>
          </w:tcPr>
          <w:p w14:paraId="79E7A090">
            <w:pPr>
              <w:widowControl/>
              <w:jc w:val="left"/>
              <w:rPr>
                <w:rFonts w:eastAsia="楷体_GB2312"/>
                <w:szCs w:val="21"/>
                <w:lang w:eastAsia="zh-TW"/>
              </w:rPr>
            </w:pPr>
          </w:p>
        </w:tc>
        <w:tc>
          <w:tcPr>
            <w:tcW w:w="2750" w:type="dxa"/>
            <w:gridSpan w:val="2"/>
            <w:tcBorders>
              <w:top w:val="single" w:color="auto" w:sz="4" w:space="0"/>
              <w:left w:val="single" w:color="auto" w:sz="4" w:space="0"/>
              <w:bottom w:val="single" w:color="auto" w:sz="4" w:space="0"/>
              <w:right w:val="single" w:color="auto" w:sz="4" w:space="0"/>
            </w:tcBorders>
          </w:tcPr>
          <w:p w14:paraId="4607AED2">
            <w:pPr>
              <w:widowControl/>
              <w:spacing w:line="360" w:lineRule="auto"/>
              <w:jc w:val="left"/>
              <w:rPr>
                <w:rFonts w:eastAsia="楷体_GB2312"/>
                <w:szCs w:val="21"/>
                <w:lang w:eastAsia="zh-TW"/>
              </w:rPr>
            </w:pPr>
            <w:r>
              <w:rPr>
                <w:rFonts w:eastAsia="楷体_GB2312"/>
                <w:szCs w:val="21"/>
                <w:lang w:eastAsia="zh-TW"/>
              </w:rPr>
              <w:t>证券本金总支出</w:t>
            </w:r>
          </w:p>
        </w:tc>
        <w:tc>
          <w:tcPr>
            <w:tcW w:w="2461" w:type="dxa"/>
            <w:tcBorders>
              <w:top w:val="single" w:color="auto" w:sz="4" w:space="0"/>
              <w:left w:val="single" w:color="auto" w:sz="4" w:space="0"/>
              <w:bottom w:val="single" w:color="auto" w:sz="4" w:space="0"/>
              <w:right w:val="single" w:color="auto" w:sz="4" w:space="0"/>
            </w:tcBorders>
          </w:tcPr>
          <w:p w14:paraId="2FCA8788">
            <w:pPr>
              <w:widowControl/>
              <w:spacing w:line="360" w:lineRule="auto"/>
              <w:jc w:val="right"/>
              <w:rPr>
                <w:rFonts w:eastAsia="楷体_GB2312"/>
                <w:b/>
                <w:bCs/>
                <w:szCs w:val="21"/>
                <w:lang w:eastAsia="zh-TW"/>
              </w:rPr>
            </w:pPr>
          </w:p>
        </w:tc>
        <w:tc>
          <w:tcPr>
            <w:tcW w:w="2606" w:type="dxa"/>
            <w:tcBorders>
              <w:top w:val="single" w:color="auto" w:sz="4" w:space="0"/>
              <w:left w:val="single" w:color="auto" w:sz="4" w:space="0"/>
              <w:bottom w:val="single" w:color="auto" w:sz="4" w:space="0"/>
              <w:right w:val="single" w:color="auto" w:sz="4" w:space="0"/>
            </w:tcBorders>
          </w:tcPr>
          <w:p w14:paraId="07BE2CB3">
            <w:pPr>
              <w:widowControl/>
              <w:spacing w:line="360" w:lineRule="auto"/>
              <w:jc w:val="left"/>
              <w:rPr>
                <w:rFonts w:eastAsia="楷体_GB2312"/>
                <w:b/>
                <w:bCs/>
                <w:szCs w:val="21"/>
                <w:lang w:eastAsia="zh-TW"/>
              </w:rPr>
            </w:pPr>
          </w:p>
        </w:tc>
      </w:tr>
      <w:tr w14:paraId="4692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8" w:type="dxa"/>
            <w:vMerge w:val="continue"/>
            <w:tcBorders>
              <w:top w:val="single" w:color="auto" w:sz="4" w:space="0"/>
              <w:left w:val="single" w:color="auto" w:sz="4" w:space="0"/>
              <w:bottom w:val="single" w:color="auto" w:sz="4" w:space="0"/>
              <w:right w:val="single" w:color="auto" w:sz="4" w:space="0"/>
            </w:tcBorders>
            <w:vAlign w:val="center"/>
          </w:tcPr>
          <w:p w14:paraId="244C2AA0">
            <w:pPr>
              <w:widowControl/>
              <w:jc w:val="left"/>
              <w:rPr>
                <w:rFonts w:eastAsia="楷体_GB2312"/>
                <w:szCs w:val="21"/>
                <w:lang w:eastAsia="zh-TW"/>
              </w:rPr>
            </w:pPr>
          </w:p>
        </w:tc>
        <w:tc>
          <w:tcPr>
            <w:tcW w:w="2750" w:type="dxa"/>
            <w:gridSpan w:val="2"/>
            <w:tcBorders>
              <w:top w:val="single" w:color="auto" w:sz="4" w:space="0"/>
              <w:left w:val="single" w:color="auto" w:sz="4" w:space="0"/>
              <w:bottom w:val="single" w:color="auto" w:sz="4" w:space="0"/>
              <w:right w:val="single" w:color="auto" w:sz="4" w:space="0"/>
            </w:tcBorders>
          </w:tcPr>
          <w:p w14:paraId="190BFDB1">
            <w:pPr>
              <w:widowControl/>
              <w:spacing w:line="360" w:lineRule="auto"/>
              <w:jc w:val="left"/>
              <w:rPr>
                <w:rFonts w:eastAsia="楷体_GB2312"/>
                <w:szCs w:val="21"/>
                <w:lang w:eastAsia="zh-TW"/>
              </w:rPr>
            </w:pPr>
            <w:r>
              <w:rPr>
                <w:rFonts w:eastAsia="楷体_GB2312"/>
                <w:szCs w:val="21"/>
              </w:rPr>
              <w:t>次级</w:t>
            </w:r>
            <w:r>
              <w:rPr>
                <w:rFonts w:eastAsia="楷体_GB2312"/>
                <w:szCs w:val="21"/>
                <w:lang w:eastAsia="zh-TW"/>
              </w:rPr>
              <w:t>超额收益</w:t>
            </w:r>
          </w:p>
        </w:tc>
        <w:tc>
          <w:tcPr>
            <w:tcW w:w="2461" w:type="dxa"/>
            <w:tcBorders>
              <w:top w:val="single" w:color="auto" w:sz="4" w:space="0"/>
              <w:left w:val="single" w:color="auto" w:sz="4" w:space="0"/>
              <w:bottom w:val="single" w:color="auto" w:sz="4" w:space="0"/>
              <w:right w:val="single" w:color="auto" w:sz="4" w:space="0"/>
            </w:tcBorders>
          </w:tcPr>
          <w:p w14:paraId="7C10204D">
            <w:pPr>
              <w:widowControl/>
              <w:spacing w:line="360" w:lineRule="auto"/>
              <w:jc w:val="right"/>
              <w:rPr>
                <w:rFonts w:eastAsia="楷体_GB2312"/>
                <w:b/>
                <w:bCs/>
                <w:szCs w:val="21"/>
                <w:lang w:eastAsia="zh-TW"/>
              </w:rPr>
            </w:pPr>
          </w:p>
        </w:tc>
        <w:tc>
          <w:tcPr>
            <w:tcW w:w="2606" w:type="dxa"/>
            <w:tcBorders>
              <w:top w:val="single" w:color="auto" w:sz="4" w:space="0"/>
              <w:left w:val="single" w:color="auto" w:sz="4" w:space="0"/>
              <w:bottom w:val="single" w:color="auto" w:sz="4" w:space="0"/>
              <w:right w:val="single" w:color="auto" w:sz="4" w:space="0"/>
            </w:tcBorders>
          </w:tcPr>
          <w:p w14:paraId="11B4223C">
            <w:pPr>
              <w:widowControl/>
              <w:spacing w:line="360" w:lineRule="auto"/>
              <w:jc w:val="left"/>
              <w:rPr>
                <w:rFonts w:eastAsia="楷体_GB2312"/>
                <w:b/>
                <w:bCs/>
                <w:szCs w:val="21"/>
                <w:lang w:eastAsia="zh-TW"/>
              </w:rPr>
            </w:pPr>
          </w:p>
        </w:tc>
      </w:tr>
    </w:tbl>
    <w:p w14:paraId="6EDAEAAA">
      <w:pPr>
        <w:widowControl/>
        <w:spacing w:line="360" w:lineRule="auto"/>
        <w:jc w:val="left"/>
        <w:rPr>
          <w:rFonts w:eastAsia="楷体_GB2312"/>
          <w:sz w:val="24"/>
        </w:rPr>
      </w:pPr>
    </w:p>
    <w:p w14:paraId="5F696AE0">
      <w:pPr>
        <w:widowControl/>
        <w:spacing w:line="360" w:lineRule="auto"/>
        <w:jc w:val="left"/>
        <w:rPr>
          <w:rFonts w:eastAsia="楷体_GB2312"/>
          <w:sz w:val="18"/>
          <w:szCs w:val="18"/>
        </w:rPr>
      </w:pPr>
      <w:r>
        <w:rPr>
          <w:rFonts w:eastAsia="楷体_GB2312"/>
          <w:sz w:val="18"/>
          <w:szCs w:val="18"/>
        </w:rPr>
        <w:t>注1：费用支出发生的原因是【】</w:t>
      </w:r>
    </w:p>
    <w:p w14:paraId="6A35FB99">
      <w:pPr>
        <w:widowControl/>
        <w:spacing w:line="360" w:lineRule="auto"/>
        <w:jc w:val="left"/>
        <w:rPr>
          <w:rFonts w:eastAsia="楷体_GB2312"/>
          <w:sz w:val="18"/>
          <w:szCs w:val="18"/>
        </w:rPr>
      </w:pPr>
      <w:r>
        <w:rPr>
          <w:rFonts w:eastAsia="楷体_GB2312"/>
          <w:sz w:val="18"/>
          <w:szCs w:val="18"/>
        </w:rPr>
        <w:t>注2：证券利息包括次级资产支持证券次级期间收益（如有）。</w:t>
      </w:r>
    </w:p>
    <w:p w14:paraId="34020FD3">
      <w:pPr>
        <w:rPr>
          <w:rFonts w:eastAsia="楷体_GB2312"/>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2201"/>
        <w:gridCol w:w="1843"/>
      </w:tblGrid>
      <w:tr w14:paraId="1C1E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3"/>
          </w:tcPr>
          <w:p w14:paraId="4E25D310">
            <w:pPr>
              <w:jc w:val="center"/>
              <w:rPr>
                <w:rFonts w:eastAsia="楷体_GB2312"/>
                <w:b/>
              </w:rPr>
            </w:pPr>
            <w:r>
              <w:rPr>
                <w:rFonts w:eastAsia="楷体_GB2312"/>
                <w:b/>
                <w:sz w:val="28"/>
              </w:rPr>
              <w:t>【信托名称】受托机构报告</w:t>
            </w:r>
          </w:p>
        </w:tc>
      </w:tr>
      <w:tr w14:paraId="3CF7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3"/>
          </w:tcPr>
          <w:p w14:paraId="6BCDA072">
            <w:pPr>
              <w:widowControl/>
              <w:spacing w:line="360" w:lineRule="auto"/>
              <w:jc w:val="left"/>
              <w:rPr>
                <w:rFonts w:eastAsia="楷体_GB2312"/>
                <w:b/>
                <w:szCs w:val="21"/>
              </w:rPr>
            </w:pPr>
            <w:r>
              <w:rPr>
                <w:rFonts w:eastAsia="楷体_GB2312"/>
                <w:b/>
                <w:szCs w:val="21"/>
              </w:rPr>
              <w:t>三、资产池情况（续）</w:t>
            </w:r>
          </w:p>
          <w:p w14:paraId="4A9122F5">
            <w:pPr>
              <w:rPr>
                <w:rFonts w:eastAsia="楷体_GB2312"/>
              </w:rPr>
            </w:pPr>
            <w:r>
              <w:rPr>
                <w:rFonts w:eastAsia="楷体_GB2312"/>
                <w:bCs/>
                <w:szCs w:val="21"/>
              </w:rPr>
              <w:t>（七）划款信息（元）</w:t>
            </w:r>
          </w:p>
        </w:tc>
      </w:tr>
      <w:tr w14:paraId="3A5C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14:paraId="6AD80CE4">
            <w:pPr>
              <w:rPr>
                <w:rFonts w:eastAsia="楷体_GB2312"/>
              </w:rPr>
            </w:pPr>
          </w:p>
        </w:tc>
        <w:tc>
          <w:tcPr>
            <w:tcW w:w="2201" w:type="dxa"/>
            <w:shd w:val="clear" w:color="auto" w:fill="C0C0C0"/>
            <w:vAlign w:val="center"/>
          </w:tcPr>
          <w:p w14:paraId="7D7388FA">
            <w:pPr>
              <w:jc w:val="center"/>
              <w:rPr>
                <w:rFonts w:eastAsia="楷体_GB2312"/>
                <w:sz w:val="18"/>
              </w:rPr>
            </w:pPr>
            <w:r>
              <w:rPr>
                <w:rFonts w:eastAsia="楷体_GB2312"/>
                <w:b/>
                <w:sz w:val="18"/>
              </w:rPr>
              <w:t>本收款期间</w:t>
            </w:r>
          </w:p>
        </w:tc>
        <w:tc>
          <w:tcPr>
            <w:tcW w:w="1843" w:type="dxa"/>
            <w:shd w:val="clear" w:color="auto" w:fill="C0C0C0"/>
            <w:vAlign w:val="center"/>
          </w:tcPr>
          <w:p w14:paraId="545ACC4A">
            <w:pPr>
              <w:jc w:val="center"/>
              <w:rPr>
                <w:rFonts w:eastAsia="楷体_GB2312"/>
                <w:sz w:val="18"/>
              </w:rPr>
            </w:pPr>
            <w:r>
              <w:rPr>
                <w:rFonts w:eastAsia="楷体_GB2312"/>
                <w:b/>
                <w:sz w:val="18"/>
              </w:rPr>
              <w:t>上一收款期间</w:t>
            </w:r>
          </w:p>
        </w:tc>
      </w:tr>
      <w:tr w14:paraId="201F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14:paraId="7A8E8DC9">
            <w:pPr>
              <w:widowControl/>
              <w:spacing w:line="360" w:lineRule="auto"/>
              <w:jc w:val="left"/>
              <w:rPr>
                <w:rFonts w:eastAsia="楷体_GB2312"/>
                <w:sz w:val="18"/>
              </w:rPr>
            </w:pPr>
            <w:r>
              <w:rPr>
                <w:rFonts w:eastAsia="楷体_GB2312"/>
                <w:sz w:val="18"/>
              </w:rPr>
              <w:t>转入信托账（本金账）的本金回收款金额</w:t>
            </w:r>
          </w:p>
        </w:tc>
        <w:tc>
          <w:tcPr>
            <w:tcW w:w="2201" w:type="dxa"/>
          </w:tcPr>
          <w:p w14:paraId="49E25DEB">
            <w:pPr>
              <w:rPr>
                <w:rFonts w:eastAsia="楷体_GB2312"/>
                <w:sz w:val="18"/>
                <w:szCs w:val="18"/>
              </w:rPr>
            </w:pPr>
          </w:p>
        </w:tc>
        <w:tc>
          <w:tcPr>
            <w:tcW w:w="1843" w:type="dxa"/>
          </w:tcPr>
          <w:p w14:paraId="0C39CAA1">
            <w:pPr>
              <w:rPr>
                <w:rFonts w:eastAsia="楷体_GB2312"/>
                <w:sz w:val="18"/>
                <w:szCs w:val="18"/>
              </w:rPr>
            </w:pPr>
          </w:p>
        </w:tc>
      </w:tr>
      <w:tr w14:paraId="5EC8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14:paraId="686EB603">
            <w:pPr>
              <w:widowControl/>
              <w:spacing w:line="360" w:lineRule="auto"/>
              <w:jc w:val="left"/>
              <w:rPr>
                <w:rFonts w:eastAsia="楷体_GB2312"/>
                <w:sz w:val="18"/>
              </w:rPr>
            </w:pPr>
            <w:r>
              <w:rPr>
                <w:rFonts w:eastAsia="楷体_GB2312"/>
                <w:sz w:val="18"/>
              </w:rPr>
              <w:t>转入信托账（收益账）的收入回收款金额</w:t>
            </w:r>
          </w:p>
        </w:tc>
        <w:tc>
          <w:tcPr>
            <w:tcW w:w="2201" w:type="dxa"/>
          </w:tcPr>
          <w:p w14:paraId="7A49847A">
            <w:pPr>
              <w:rPr>
                <w:rFonts w:eastAsia="楷体_GB2312"/>
                <w:sz w:val="18"/>
                <w:szCs w:val="18"/>
              </w:rPr>
            </w:pPr>
          </w:p>
        </w:tc>
        <w:tc>
          <w:tcPr>
            <w:tcW w:w="1843" w:type="dxa"/>
          </w:tcPr>
          <w:p w14:paraId="716C3208">
            <w:pPr>
              <w:rPr>
                <w:rFonts w:eastAsia="楷体_GB2312"/>
                <w:sz w:val="18"/>
                <w:szCs w:val="18"/>
              </w:rPr>
            </w:pPr>
          </w:p>
        </w:tc>
      </w:tr>
      <w:tr w14:paraId="7616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14:paraId="43F9F756">
            <w:pPr>
              <w:widowControl/>
              <w:spacing w:line="360" w:lineRule="auto"/>
              <w:jc w:val="left"/>
              <w:rPr>
                <w:rFonts w:eastAsia="楷体_GB2312"/>
                <w:sz w:val="18"/>
                <w:lang w:eastAsia="zh-TW"/>
              </w:rPr>
            </w:pPr>
            <w:r>
              <w:rPr>
                <w:rFonts w:eastAsia="楷体_GB2312"/>
                <w:sz w:val="18"/>
                <w:lang w:eastAsia="zh-TW"/>
              </w:rPr>
              <w:t>合计</w:t>
            </w:r>
          </w:p>
        </w:tc>
        <w:tc>
          <w:tcPr>
            <w:tcW w:w="2201" w:type="dxa"/>
          </w:tcPr>
          <w:p w14:paraId="67928797">
            <w:pPr>
              <w:rPr>
                <w:rFonts w:eastAsia="楷体_GB2312"/>
                <w:sz w:val="18"/>
                <w:szCs w:val="18"/>
              </w:rPr>
            </w:pPr>
          </w:p>
        </w:tc>
        <w:tc>
          <w:tcPr>
            <w:tcW w:w="1843" w:type="dxa"/>
          </w:tcPr>
          <w:p w14:paraId="7B689487">
            <w:pPr>
              <w:rPr>
                <w:rFonts w:eastAsia="楷体_GB2312"/>
                <w:sz w:val="18"/>
                <w:szCs w:val="18"/>
              </w:rPr>
            </w:pPr>
          </w:p>
        </w:tc>
      </w:tr>
    </w:tbl>
    <w:p w14:paraId="69DDD5FB">
      <w:pPr>
        <w:rPr>
          <w:rFonts w:eastAsia="楷体_GB2312"/>
        </w:rPr>
      </w:pPr>
    </w:p>
    <w:p w14:paraId="7E66F04C">
      <w:pPr>
        <w:widowControl/>
        <w:jc w:val="left"/>
        <w:rPr>
          <w:rFonts w:eastAsia="楷体_GB2312"/>
        </w:rPr>
      </w:pPr>
      <w:r>
        <w:rPr>
          <w:rFonts w:eastAsia="楷体_GB2312"/>
        </w:rPr>
        <w:br w:type="page"/>
      </w:r>
    </w:p>
    <w:tbl>
      <w:tblPr>
        <w:tblStyle w:val="27"/>
        <w:tblW w:w="850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11"/>
        <w:gridCol w:w="1210"/>
        <w:gridCol w:w="1210"/>
        <w:gridCol w:w="321"/>
        <w:gridCol w:w="890"/>
        <w:gridCol w:w="708"/>
        <w:gridCol w:w="502"/>
        <w:gridCol w:w="1210"/>
        <w:gridCol w:w="1238"/>
      </w:tblGrid>
      <w:tr w14:paraId="5DA89C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left w:val="single" w:color="auto" w:sz="4" w:space="0"/>
              <w:bottom w:val="single" w:color="auto" w:sz="4" w:space="0"/>
              <w:right w:val="single" w:color="auto" w:sz="4" w:space="0"/>
            </w:tcBorders>
          </w:tcPr>
          <w:p w14:paraId="4E1D85F3">
            <w:pPr>
              <w:widowControl/>
              <w:spacing w:line="360" w:lineRule="auto"/>
              <w:jc w:val="center"/>
              <w:rPr>
                <w:rFonts w:eastAsia="楷体_GB2312"/>
                <w:b/>
                <w:sz w:val="28"/>
              </w:rPr>
            </w:pPr>
            <w:r>
              <w:rPr>
                <w:rFonts w:eastAsia="楷体_GB2312"/>
                <w:b/>
                <w:sz w:val="28"/>
              </w:rPr>
              <w:t>【信托名称】受托机构报告</w:t>
            </w:r>
          </w:p>
        </w:tc>
      </w:tr>
      <w:tr w14:paraId="6B4FA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left w:val="single" w:color="auto" w:sz="4" w:space="0"/>
              <w:bottom w:val="single" w:color="auto" w:sz="4" w:space="0"/>
              <w:right w:val="single" w:color="auto" w:sz="4" w:space="0"/>
            </w:tcBorders>
          </w:tcPr>
          <w:p w14:paraId="28816528">
            <w:pPr>
              <w:widowControl/>
              <w:spacing w:line="360" w:lineRule="auto"/>
              <w:jc w:val="left"/>
              <w:rPr>
                <w:rFonts w:eastAsia="楷体_GB2312"/>
                <w:b/>
                <w:szCs w:val="21"/>
              </w:rPr>
            </w:pPr>
            <w:r>
              <w:rPr>
                <w:rFonts w:eastAsia="楷体_GB2312"/>
                <w:b/>
                <w:szCs w:val="21"/>
              </w:rPr>
              <w:t>四、基础资产存续期总体信息</w:t>
            </w:r>
          </w:p>
          <w:p w14:paraId="07127CF0">
            <w:pPr>
              <w:widowControl/>
              <w:spacing w:line="360" w:lineRule="auto"/>
              <w:jc w:val="left"/>
              <w:rPr>
                <w:rFonts w:eastAsia="楷体_GB2312"/>
                <w:bCs/>
                <w:sz w:val="24"/>
              </w:rPr>
            </w:pPr>
            <w:r>
              <w:rPr>
                <w:rFonts w:eastAsia="楷体_GB2312"/>
                <w:bCs/>
                <w:szCs w:val="21"/>
              </w:rPr>
              <w:t>（一）入池资产笔数与金额特征</w:t>
            </w:r>
          </w:p>
        </w:tc>
      </w:tr>
      <w:tr w14:paraId="32781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6A05E19D">
            <w:pPr>
              <w:widowControl/>
              <w:spacing w:line="360" w:lineRule="auto"/>
              <w:jc w:val="left"/>
              <w:rPr>
                <w:rFonts w:eastAsia="楷体_GB2312"/>
                <w:sz w:val="24"/>
              </w:rPr>
            </w:pPr>
          </w:p>
        </w:tc>
        <w:tc>
          <w:tcPr>
            <w:tcW w:w="1536" w:type="dxa"/>
            <w:gridSpan w:val="2"/>
            <w:tcBorders>
              <w:top w:val="single" w:color="auto" w:sz="4" w:space="0"/>
              <w:left w:val="single" w:color="auto" w:sz="4" w:space="0"/>
              <w:bottom w:val="single" w:color="auto" w:sz="4" w:space="0"/>
              <w:right w:val="single" w:color="auto" w:sz="4" w:space="0"/>
            </w:tcBorders>
          </w:tcPr>
          <w:p w14:paraId="7EAD20DE">
            <w:pPr>
              <w:widowControl/>
              <w:spacing w:line="360" w:lineRule="auto"/>
              <w:jc w:val="center"/>
              <w:rPr>
                <w:rFonts w:eastAsia="楷体_GB2312"/>
                <w:b/>
                <w:sz w:val="18"/>
                <w:szCs w:val="18"/>
                <w:lang w:eastAsia="zh-TW"/>
              </w:rPr>
            </w:pPr>
            <w:r>
              <w:rPr>
                <w:rFonts w:eastAsia="楷体_GB2312"/>
                <w:b/>
                <w:sz w:val="18"/>
                <w:szCs w:val="18"/>
                <w:lang w:eastAsia="zh-TW"/>
              </w:rPr>
              <w:t>初始起算日</w:t>
            </w:r>
          </w:p>
        </w:tc>
        <w:tc>
          <w:tcPr>
            <w:tcW w:w="1603" w:type="dxa"/>
            <w:gridSpan w:val="2"/>
            <w:tcBorders>
              <w:top w:val="single" w:color="auto" w:sz="4" w:space="0"/>
              <w:left w:val="single" w:color="auto" w:sz="4" w:space="0"/>
              <w:bottom w:val="single" w:color="auto" w:sz="4" w:space="0"/>
              <w:right w:val="single" w:color="auto" w:sz="4" w:space="0"/>
            </w:tcBorders>
          </w:tcPr>
          <w:p w14:paraId="52D2E6DF">
            <w:pPr>
              <w:widowControl/>
              <w:spacing w:line="360" w:lineRule="auto"/>
              <w:jc w:val="left"/>
              <w:rPr>
                <w:rFonts w:eastAsia="楷体_GB2312"/>
                <w:b/>
                <w:sz w:val="18"/>
                <w:szCs w:val="18"/>
                <w:lang w:eastAsia="zh-TW"/>
              </w:rPr>
            </w:pPr>
            <w:r>
              <w:rPr>
                <w:rFonts w:eastAsia="楷体_GB2312"/>
                <w:b/>
                <w:sz w:val="18"/>
                <w:szCs w:val="18"/>
                <w:lang w:eastAsia="zh-TW"/>
              </w:rPr>
              <w:t>上一期期末</w:t>
            </w:r>
          </w:p>
        </w:tc>
        <w:tc>
          <w:tcPr>
            <w:tcW w:w="2960" w:type="dxa"/>
            <w:gridSpan w:val="3"/>
            <w:tcBorders>
              <w:top w:val="single" w:color="auto" w:sz="4" w:space="0"/>
              <w:left w:val="single" w:color="auto" w:sz="4" w:space="0"/>
              <w:bottom w:val="single" w:color="auto" w:sz="4" w:space="0"/>
              <w:right w:val="single" w:color="auto" w:sz="4" w:space="0"/>
            </w:tcBorders>
          </w:tcPr>
          <w:p w14:paraId="7FEFED86">
            <w:pPr>
              <w:widowControl/>
              <w:spacing w:line="360" w:lineRule="auto"/>
              <w:jc w:val="left"/>
              <w:rPr>
                <w:rFonts w:eastAsia="楷体_GB2312"/>
                <w:b/>
                <w:sz w:val="18"/>
                <w:szCs w:val="18"/>
                <w:lang w:eastAsia="zh-TW"/>
              </w:rPr>
            </w:pPr>
            <w:r>
              <w:rPr>
                <w:rFonts w:eastAsia="楷体_GB2312"/>
                <w:b/>
                <w:sz w:val="18"/>
                <w:szCs w:val="18"/>
                <w:lang w:eastAsia="zh-TW"/>
              </w:rPr>
              <w:t>本期期末</w:t>
            </w:r>
          </w:p>
        </w:tc>
      </w:tr>
      <w:tr w14:paraId="7EEEA5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445D4D44">
            <w:pPr>
              <w:widowControl/>
              <w:spacing w:line="360" w:lineRule="auto"/>
              <w:jc w:val="left"/>
              <w:rPr>
                <w:rFonts w:eastAsia="楷体_GB2312"/>
                <w:sz w:val="18"/>
                <w:lang w:eastAsia="zh-TW"/>
              </w:rPr>
            </w:pPr>
            <w:r>
              <w:rPr>
                <w:rFonts w:eastAsia="楷体_GB2312"/>
                <w:sz w:val="18"/>
                <w:lang w:eastAsia="zh-TW"/>
              </w:rPr>
              <w:t>总笔数</w:t>
            </w:r>
          </w:p>
        </w:tc>
        <w:tc>
          <w:tcPr>
            <w:tcW w:w="1536" w:type="dxa"/>
            <w:gridSpan w:val="2"/>
            <w:tcBorders>
              <w:top w:val="single" w:color="auto" w:sz="4" w:space="0"/>
              <w:left w:val="single" w:color="auto" w:sz="4" w:space="0"/>
              <w:bottom w:val="single" w:color="auto" w:sz="4" w:space="0"/>
              <w:right w:val="single" w:color="auto" w:sz="4" w:space="0"/>
            </w:tcBorders>
          </w:tcPr>
          <w:p w14:paraId="4A69F1C9">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5D6D7BD1">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4C33EBEC">
            <w:pPr>
              <w:widowControl/>
              <w:spacing w:line="360" w:lineRule="auto"/>
              <w:jc w:val="left"/>
              <w:rPr>
                <w:rFonts w:eastAsia="楷体_GB2312"/>
                <w:sz w:val="18"/>
                <w:szCs w:val="18"/>
                <w:lang w:eastAsia="zh-TW"/>
              </w:rPr>
            </w:pPr>
          </w:p>
        </w:tc>
      </w:tr>
      <w:tr w14:paraId="369F29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2446BDBA">
            <w:pPr>
              <w:widowControl/>
              <w:spacing w:line="360" w:lineRule="auto"/>
              <w:jc w:val="left"/>
              <w:rPr>
                <w:rFonts w:eastAsia="楷体_GB2312"/>
                <w:sz w:val="18"/>
                <w:lang w:eastAsia="zh-TW"/>
              </w:rPr>
            </w:pPr>
            <w:r>
              <w:rPr>
                <w:rFonts w:eastAsia="楷体_GB2312"/>
                <w:sz w:val="18"/>
                <w:lang w:eastAsia="zh-TW"/>
              </w:rPr>
              <w:t>总户数</w:t>
            </w:r>
          </w:p>
        </w:tc>
        <w:tc>
          <w:tcPr>
            <w:tcW w:w="1536" w:type="dxa"/>
            <w:gridSpan w:val="2"/>
            <w:tcBorders>
              <w:top w:val="single" w:color="auto" w:sz="4" w:space="0"/>
              <w:left w:val="single" w:color="auto" w:sz="4" w:space="0"/>
              <w:bottom w:val="single" w:color="auto" w:sz="4" w:space="0"/>
              <w:right w:val="single" w:color="auto" w:sz="4" w:space="0"/>
            </w:tcBorders>
          </w:tcPr>
          <w:p w14:paraId="48E96003">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3C152BF5">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134419D1">
            <w:pPr>
              <w:widowControl/>
              <w:spacing w:line="360" w:lineRule="auto"/>
              <w:jc w:val="left"/>
              <w:rPr>
                <w:rFonts w:eastAsia="楷体_GB2312"/>
                <w:sz w:val="18"/>
                <w:szCs w:val="18"/>
                <w:lang w:eastAsia="zh-TW"/>
              </w:rPr>
            </w:pPr>
          </w:p>
        </w:tc>
      </w:tr>
      <w:tr w14:paraId="15BE86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12FAF99E">
            <w:pPr>
              <w:widowControl/>
              <w:spacing w:line="360" w:lineRule="auto"/>
              <w:jc w:val="left"/>
              <w:rPr>
                <w:rFonts w:eastAsia="楷体_GB2312"/>
                <w:sz w:val="18"/>
                <w:lang w:eastAsia="zh-TW"/>
              </w:rPr>
            </w:pPr>
            <w:r>
              <w:rPr>
                <w:rFonts w:eastAsia="楷体_GB2312"/>
                <w:sz w:val="18"/>
                <w:lang w:eastAsia="zh-TW"/>
              </w:rPr>
              <w:t>未偿本金余额</w:t>
            </w:r>
          </w:p>
        </w:tc>
        <w:tc>
          <w:tcPr>
            <w:tcW w:w="1536" w:type="dxa"/>
            <w:gridSpan w:val="2"/>
            <w:tcBorders>
              <w:top w:val="single" w:color="auto" w:sz="4" w:space="0"/>
              <w:left w:val="single" w:color="auto" w:sz="4" w:space="0"/>
              <w:bottom w:val="single" w:color="auto" w:sz="4" w:space="0"/>
              <w:right w:val="single" w:color="auto" w:sz="4" w:space="0"/>
            </w:tcBorders>
          </w:tcPr>
          <w:p w14:paraId="4146CF35">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5487EF8E">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7DFE097A">
            <w:pPr>
              <w:widowControl/>
              <w:spacing w:line="360" w:lineRule="auto"/>
              <w:jc w:val="left"/>
              <w:rPr>
                <w:rFonts w:eastAsia="楷体_GB2312"/>
                <w:sz w:val="18"/>
                <w:szCs w:val="18"/>
                <w:lang w:eastAsia="zh-TW"/>
              </w:rPr>
            </w:pPr>
          </w:p>
        </w:tc>
      </w:tr>
      <w:tr w14:paraId="494139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494B2ACF">
            <w:pPr>
              <w:widowControl/>
              <w:spacing w:line="360" w:lineRule="auto"/>
              <w:jc w:val="left"/>
              <w:rPr>
                <w:rFonts w:eastAsia="楷体_GB2312"/>
                <w:sz w:val="18"/>
              </w:rPr>
            </w:pPr>
            <w:r>
              <w:rPr>
                <w:rFonts w:eastAsia="楷体_GB2312"/>
                <w:sz w:val="18"/>
              </w:rPr>
              <w:t>单笔贷款最高本金余额</w:t>
            </w:r>
          </w:p>
        </w:tc>
        <w:tc>
          <w:tcPr>
            <w:tcW w:w="1536" w:type="dxa"/>
            <w:gridSpan w:val="2"/>
            <w:tcBorders>
              <w:top w:val="single" w:color="auto" w:sz="4" w:space="0"/>
              <w:left w:val="single" w:color="auto" w:sz="4" w:space="0"/>
              <w:bottom w:val="single" w:color="auto" w:sz="4" w:space="0"/>
              <w:right w:val="single" w:color="auto" w:sz="4" w:space="0"/>
            </w:tcBorders>
          </w:tcPr>
          <w:p w14:paraId="63B61293">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5AF38743">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4B990AD4">
            <w:pPr>
              <w:widowControl/>
              <w:spacing w:line="360" w:lineRule="auto"/>
              <w:jc w:val="left"/>
              <w:rPr>
                <w:rFonts w:eastAsia="楷体_GB2312"/>
                <w:sz w:val="18"/>
                <w:szCs w:val="18"/>
              </w:rPr>
            </w:pPr>
          </w:p>
        </w:tc>
      </w:tr>
      <w:tr w14:paraId="23E6BC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664DEFA5">
            <w:pPr>
              <w:widowControl/>
              <w:spacing w:line="360" w:lineRule="auto"/>
              <w:jc w:val="left"/>
              <w:rPr>
                <w:rFonts w:eastAsia="楷体_GB2312"/>
                <w:sz w:val="18"/>
              </w:rPr>
            </w:pPr>
            <w:r>
              <w:rPr>
                <w:rFonts w:eastAsia="楷体_GB2312"/>
                <w:sz w:val="18"/>
              </w:rPr>
              <w:t>单笔贷款平均本金余额</w:t>
            </w:r>
          </w:p>
        </w:tc>
        <w:tc>
          <w:tcPr>
            <w:tcW w:w="1536" w:type="dxa"/>
            <w:gridSpan w:val="2"/>
            <w:tcBorders>
              <w:top w:val="single" w:color="auto" w:sz="4" w:space="0"/>
              <w:left w:val="single" w:color="auto" w:sz="4" w:space="0"/>
              <w:bottom w:val="single" w:color="auto" w:sz="4" w:space="0"/>
              <w:right w:val="single" w:color="auto" w:sz="4" w:space="0"/>
            </w:tcBorders>
          </w:tcPr>
          <w:p w14:paraId="56EF7251">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3B01846A">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44419B11">
            <w:pPr>
              <w:widowControl/>
              <w:spacing w:line="360" w:lineRule="auto"/>
              <w:jc w:val="left"/>
              <w:rPr>
                <w:rFonts w:eastAsia="楷体_GB2312"/>
                <w:sz w:val="18"/>
                <w:szCs w:val="18"/>
              </w:rPr>
            </w:pPr>
          </w:p>
        </w:tc>
      </w:tr>
      <w:tr w14:paraId="34BD65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65E33ECD">
            <w:pPr>
              <w:widowControl/>
              <w:spacing w:line="360" w:lineRule="auto"/>
              <w:jc w:val="left"/>
              <w:rPr>
                <w:rFonts w:eastAsia="楷体_GB2312"/>
                <w:sz w:val="18"/>
                <w:lang w:eastAsia="zh-TW"/>
              </w:rPr>
            </w:pPr>
            <w:r>
              <w:rPr>
                <w:rFonts w:eastAsia="楷体_GB2312"/>
                <w:sz w:val="18"/>
                <w:lang w:eastAsia="zh-TW"/>
              </w:rPr>
              <w:t>担保贷款本金余额</w:t>
            </w:r>
          </w:p>
        </w:tc>
        <w:tc>
          <w:tcPr>
            <w:tcW w:w="1536" w:type="dxa"/>
            <w:gridSpan w:val="2"/>
            <w:tcBorders>
              <w:top w:val="single" w:color="auto" w:sz="4" w:space="0"/>
              <w:left w:val="single" w:color="auto" w:sz="4" w:space="0"/>
              <w:bottom w:val="single" w:color="auto" w:sz="4" w:space="0"/>
              <w:right w:val="single" w:color="auto" w:sz="4" w:space="0"/>
            </w:tcBorders>
          </w:tcPr>
          <w:p w14:paraId="59ED3BC0">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7D1A298F">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6FB959F8">
            <w:pPr>
              <w:widowControl/>
              <w:spacing w:line="360" w:lineRule="auto"/>
              <w:jc w:val="left"/>
              <w:rPr>
                <w:rFonts w:eastAsia="楷体_GB2312"/>
                <w:sz w:val="18"/>
                <w:szCs w:val="18"/>
                <w:lang w:eastAsia="zh-TW"/>
              </w:rPr>
            </w:pPr>
          </w:p>
        </w:tc>
      </w:tr>
      <w:tr w14:paraId="478C82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nil"/>
            </w:tcBorders>
          </w:tcPr>
          <w:p w14:paraId="60E1055C">
            <w:pPr>
              <w:widowControl/>
              <w:spacing w:line="360" w:lineRule="auto"/>
              <w:jc w:val="left"/>
              <w:rPr>
                <w:rFonts w:eastAsia="楷体_GB2312"/>
                <w:b/>
                <w:sz w:val="18"/>
              </w:rPr>
            </w:pPr>
            <w:r>
              <w:rPr>
                <w:rFonts w:eastAsia="楷体_GB2312"/>
                <w:bCs/>
                <w:szCs w:val="21"/>
              </w:rPr>
              <w:t>（二）入池资产期限特征</w:t>
            </w:r>
          </w:p>
        </w:tc>
        <w:tc>
          <w:tcPr>
            <w:tcW w:w="1536" w:type="dxa"/>
            <w:gridSpan w:val="2"/>
            <w:tcBorders>
              <w:top w:val="single" w:color="auto" w:sz="4" w:space="0"/>
              <w:left w:val="nil"/>
              <w:bottom w:val="single" w:color="auto" w:sz="4" w:space="0"/>
              <w:right w:val="nil"/>
            </w:tcBorders>
          </w:tcPr>
          <w:p w14:paraId="33978977">
            <w:pPr>
              <w:widowControl/>
              <w:spacing w:line="360" w:lineRule="auto"/>
              <w:jc w:val="left"/>
              <w:rPr>
                <w:rFonts w:eastAsia="楷体_GB2312"/>
                <w:sz w:val="18"/>
                <w:szCs w:val="18"/>
              </w:rPr>
            </w:pPr>
          </w:p>
        </w:tc>
        <w:tc>
          <w:tcPr>
            <w:tcW w:w="1603" w:type="dxa"/>
            <w:gridSpan w:val="2"/>
            <w:tcBorders>
              <w:top w:val="single" w:color="auto" w:sz="4" w:space="0"/>
              <w:left w:val="nil"/>
              <w:bottom w:val="single" w:color="auto" w:sz="4" w:space="0"/>
              <w:right w:val="nil"/>
            </w:tcBorders>
          </w:tcPr>
          <w:p w14:paraId="57817B69">
            <w:pPr>
              <w:widowControl/>
              <w:spacing w:line="360" w:lineRule="auto"/>
              <w:jc w:val="left"/>
              <w:rPr>
                <w:rFonts w:eastAsia="楷体_GB2312"/>
                <w:sz w:val="18"/>
                <w:szCs w:val="18"/>
              </w:rPr>
            </w:pPr>
          </w:p>
        </w:tc>
        <w:tc>
          <w:tcPr>
            <w:tcW w:w="2960" w:type="dxa"/>
            <w:gridSpan w:val="3"/>
            <w:tcBorders>
              <w:top w:val="single" w:color="auto" w:sz="4" w:space="0"/>
              <w:left w:val="nil"/>
              <w:bottom w:val="single" w:color="auto" w:sz="4" w:space="0"/>
              <w:right w:val="single" w:color="auto" w:sz="4" w:space="0"/>
            </w:tcBorders>
          </w:tcPr>
          <w:p w14:paraId="1D685B8A">
            <w:pPr>
              <w:widowControl/>
              <w:spacing w:line="360" w:lineRule="auto"/>
              <w:jc w:val="left"/>
              <w:rPr>
                <w:rFonts w:eastAsia="楷体_GB2312"/>
                <w:sz w:val="18"/>
                <w:szCs w:val="18"/>
              </w:rPr>
            </w:pPr>
          </w:p>
        </w:tc>
      </w:tr>
      <w:tr w14:paraId="0FA9BD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746F43D2">
            <w:pPr>
              <w:widowControl/>
              <w:spacing w:line="360" w:lineRule="auto"/>
              <w:jc w:val="left"/>
              <w:rPr>
                <w:rFonts w:eastAsia="楷体_GB2312"/>
                <w:sz w:val="18"/>
              </w:rPr>
            </w:pPr>
          </w:p>
        </w:tc>
        <w:tc>
          <w:tcPr>
            <w:tcW w:w="1536" w:type="dxa"/>
            <w:gridSpan w:val="2"/>
            <w:tcBorders>
              <w:top w:val="single" w:color="auto" w:sz="4" w:space="0"/>
              <w:left w:val="single" w:color="auto" w:sz="4" w:space="0"/>
              <w:bottom w:val="single" w:color="auto" w:sz="4" w:space="0"/>
              <w:right w:val="single" w:color="auto" w:sz="4" w:space="0"/>
            </w:tcBorders>
          </w:tcPr>
          <w:p w14:paraId="6B89C18D">
            <w:pPr>
              <w:widowControl/>
              <w:spacing w:line="360" w:lineRule="auto"/>
              <w:jc w:val="center"/>
              <w:rPr>
                <w:rFonts w:eastAsia="楷体_GB2312"/>
                <w:b/>
                <w:sz w:val="18"/>
                <w:szCs w:val="18"/>
                <w:lang w:eastAsia="zh-TW"/>
              </w:rPr>
            </w:pPr>
            <w:r>
              <w:rPr>
                <w:rFonts w:eastAsia="楷体_GB2312"/>
                <w:b/>
                <w:sz w:val="18"/>
                <w:szCs w:val="18"/>
                <w:lang w:eastAsia="zh-TW"/>
              </w:rPr>
              <w:t>初始起算日</w:t>
            </w:r>
          </w:p>
        </w:tc>
        <w:tc>
          <w:tcPr>
            <w:tcW w:w="1603" w:type="dxa"/>
            <w:gridSpan w:val="2"/>
            <w:tcBorders>
              <w:top w:val="single" w:color="auto" w:sz="4" w:space="0"/>
              <w:left w:val="single" w:color="auto" w:sz="4" w:space="0"/>
              <w:bottom w:val="single" w:color="auto" w:sz="4" w:space="0"/>
              <w:right w:val="single" w:color="auto" w:sz="4" w:space="0"/>
            </w:tcBorders>
          </w:tcPr>
          <w:p w14:paraId="1ED33E94">
            <w:pPr>
              <w:widowControl/>
              <w:spacing w:line="360" w:lineRule="auto"/>
              <w:jc w:val="left"/>
              <w:rPr>
                <w:rFonts w:eastAsia="楷体_GB2312"/>
                <w:b/>
                <w:sz w:val="18"/>
                <w:szCs w:val="18"/>
                <w:lang w:eastAsia="zh-TW"/>
              </w:rPr>
            </w:pPr>
            <w:r>
              <w:rPr>
                <w:rFonts w:eastAsia="楷体_GB2312"/>
                <w:b/>
                <w:sz w:val="18"/>
                <w:szCs w:val="18"/>
                <w:lang w:eastAsia="zh-TW"/>
              </w:rPr>
              <w:t>上一期期末</w:t>
            </w:r>
          </w:p>
        </w:tc>
        <w:tc>
          <w:tcPr>
            <w:tcW w:w="2960" w:type="dxa"/>
            <w:gridSpan w:val="3"/>
            <w:tcBorders>
              <w:top w:val="single" w:color="auto" w:sz="4" w:space="0"/>
              <w:left w:val="single" w:color="auto" w:sz="4" w:space="0"/>
              <w:bottom w:val="single" w:color="auto" w:sz="4" w:space="0"/>
              <w:right w:val="single" w:color="auto" w:sz="4" w:space="0"/>
            </w:tcBorders>
          </w:tcPr>
          <w:p w14:paraId="29146D16">
            <w:pPr>
              <w:widowControl/>
              <w:spacing w:line="360" w:lineRule="auto"/>
              <w:jc w:val="left"/>
              <w:rPr>
                <w:rFonts w:eastAsia="楷体_GB2312"/>
                <w:b/>
                <w:sz w:val="18"/>
                <w:szCs w:val="18"/>
                <w:lang w:eastAsia="zh-TW"/>
              </w:rPr>
            </w:pPr>
            <w:r>
              <w:rPr>
                <w:rFonts w:eastAsia="楷体_GB2312"/>
                <w:b/>
                <w:sz w:val="18"/>
                <w:szCs w:val="18"/>
                <w:lang w:eastAsia="zh-TW"/>
              </w:rPr>
              <w:t>本期期末</w:t>
            </w:r>
          </w:p>
        </w:tc>
      </w:tr>
      <w:tr w14:paraId="2AC8DD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7DC8A606">
            <w:pPr>
              <w:widowControl/>
              <w:spacing w:line="360" w:lineRule="auto"/>
              <w:jc w:val="left"/>
              <w:rPr>
                <w:rFonts w:eastAsia="楷体_GB2312"/>
                <w:sz w:val="18"/>
              </w:rPr>
            </w:pPr>
            <w:r>
              <w:rPr>
                <w:rFonts w:eastAsia="楷体_GB2312"/>
                <w:sz w:val="18"/>
              </w:rPr>
              <w:t>加权平均合同期限（月）</w:t>
            </w:r>
          </w:p>
        </w:tc>
        <w:tc>
          <w:tcPr>
            <w:tcW w:w="1536" w:type="dxa"/>
            <w:gridSpan w:val="2"/>
            <w:tcBorders>
              <w:top w:val="single" w:color="auto" w:sz="4" w:space="0"/>
              <w:left w:val="single" w:color="auto" w:sz="4" w:space="0"/>
              <w:bottom w:val="single" w:color="auto" w:sz="4" w:space="0"/>
              <w:right w:val="single" w:color="auto" w:sz="4" w:space="0"/>
            </w:tcBorders>
          </w:tcPr>
          <w:p w14:paraId="15961FA1">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3B48293F">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5A6333D8">
            <w:pPr>
              <w:widowControl/>
              <w:spacing w:line="360" w:lineRule="auto"/>
              <w:jc w:val="left"/>
              <w:rPr>
                <w:rFonts w:eastAsia="楷体_GB2312"/>
                <w:sz w:val="18"/>
                <w:szCs w:val="18"/>
              </w:rPr>
            </w:pPr>
          </w:p>
        </w:tc>
      </w:tr>
      <w:tr w14:paraId="79A783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76D817E5">
            <w:pPr>
              <w:widowControl/>
              <w:spacing w:line="360" w:lineRule="auto"/>
              <w:jc w:val="left"/>
              <w:rPr>
                <w:rFonts w:eastAsia="楷体_GB2312"/>
                <w:sz w:val="18"/>
              </w:rPr>
            </w:pPr>
            <w:r>
              <w:rPr>
                <w:rFonts w:eastAsia="楷体_GB2312"/>
                <w:sz w:val="18"/>
              </w:rPr>
              <w:t>加权平均剩余期限（月）</w:t>
            </w:r>
          </w:p>
        </w:tc>
        <w:tc>
          <w:tcPr>
            <w:tcW w:w="1536" w:type="dxa"/>
            <w:gridSpan w:val="2"/>
            <w:tcBorders>
              <w:top w:val="single" w:color="auto" w:sz="4" w:space="0"/>
              <w:left w:val="single" w:color="auto" w:sz="4" w:space="0"/>
              <w:bottom w:val="single" w:color="auto" w:sz="4" w:space="0"/>
              <w:right w:val="single" w:color="auto" w:sz="4" w:space="0"/>
            </w:tcBorders>
          </w:tcPr>
          <w:p w14:paraId="5B19B562">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045060EC">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1AA2FBED">
            <w:pPr>
              <w:widowControl/>
              <w:spacing w:line="360" w:lineRule="auto"/>
              <w:jc w:val="left"/>
              <w:rPr>
                <w:rFonts w:eastAsia="楷体_GB2312"/>
                <w:sz w:val="18"/>
                <w:szCs w:val="18"/>
              </w:rPr>
            </w:pPr>
          </w:p>
        </w:tc>
      </w:tr>
      <w:tr w14:paraId="435DCC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2A77F4A4">
            <w:pPr>
              <w:widowControl/>
              <w:spacing w:line="360" w:lineRule="auto"/>
              <w:jc w:val="left"/>
              <w:rPr>
                <w:rFonts w:eastAsia="楷体_GB2312"/>
                <w:sz w:val="18"/>
                <w:lang w:eastAsia="zh-TW"/>
              </w:rPr>
            </w:pPr>
            <w:r>
              <w:rPr>
                <w:rFonts w:eastAsia="楷体_GB2312"/>
                <w:sz w:val="18"/>
                <w:lang w:eastAsia="zh-TW"/>
              </w:rPr>
              <w:t>加权平均账龄</w:t>
            </w:r>
            <w:r>
              <w:rPr>
                <w:rFonts w:eastAsia="楷体_GB2312"/>
                <w:sz w:val="18"/>
              </w:rPr>
              <w:t>（月）</w:t>
            </w:r>
          </w:p>
        </w:tc>
        <w:tc>
          <w:tcPr>
            <w:tcW w:w="1536" w:type="dxa"/>
            <w:gridSpan w:val="2"/>
            <w:tcBorders>
              <w:top w:val="single" w:color="auto" w:sz="4" w:space="0"/>
              <w:left w:val="single" w:color="auto" w:sz="4" w:space="0"/>
              <w:bottom w:val="single" w:color="auto" w:sz="4" w:space="0"/>
              <w:right w:val="single" w:color="auto" w:sz="4" w:space="0"/>
            </w:tcBorders>
          </w:tcPr>
          <w:p w14:paraId="56F0EEA6">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7400438C">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492C4B9E">
            <w:pPr>
              <w:widowControl/>
              <w:spacing w:line="360" w:lineRule="auto"/>
              <w:jc w:val="left"/>
              <w:rPr>
                <w:rFonts w:eastAsia="楷体_GB2312"/>
                <w:sz w:val="18"/>
                <w:szCs w:val="18"/>
                <w:lang w:eastAsia="zh-TW"/>
              </w:rPr>
            </w:pPr>
          </w:p>
        </w:tc>
      </w:tr>
      <w:tr w14:paraId="274AFD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008218B7">
            <w:pPr>
              <w:widowControl/>
              <w:spacing w:line="360" w:lineRule="auto"/>
              <w:jc w:val="left"/>
              <w:rPr>
                <w:rFonts w:eastAsia="楷体_GB2312"/>
                <w:sz w:val="18"/>
              </w:rPr>
            </w:pPr>
            <w:r>
              <w:rPr>
                <w:rFonts w:eastAsia="楷体_GB2312"/>
                <w:sz w:val="18"/>
              </w:rPr>
              <w:t>单笔贷款最长到期期限（月）</w:t>
            </w:r>
          </w:p>
        </w:tc>
        <w:tc>
          <w:tcPr>
            <w:tcW w:w="1536" w:type="dxa"/>
            <w:gridSpan w:val="2"/>
            <w:tcBorders>
              <w:top w:val="single" w:color="auto" w:sz="4" w:space="0"/>
              <w:left w:val="single" w:color="auto" w:sz="4" w:space="0"/>
              <w:bottom w:val="single" w:color="auto" w:sz="4" w:space="0"/>
              <w:right w:val="single" w:color="auto" w:sz="4" w:space="0"/>
            </w:tcBorders>
          </w:tcPr>
          <w:p w14:paraId="19FACE5E">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45CBB43B">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32CE16BC">
            <w:pPr>
              <w:widowControl/>
              <w:spacing w:line="360" w:lineRule="auto"/>
              <w:jc w:val="left"/>
              <w:rPr>
                <w:rFonts w:eastAsia="楷体_GB2312"/>
                <w:sz w:val="18"/>
                <w:szCs w:val="18"/>
              </w:rPr>
            </w:pPr>
          </w:p>
        </w:tc>
      </w:tr>
      <w:tr w14:paraId="705438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02F06FA4">
            <w:pPr>
              <w:widowControl/>
              <w:spacing w:line="360" w:lineRule="auto"/>
              <w:jc w:val="left"/>
              <w:rPr>
                <w:rFonts w:eastAsia="楷体_GB2312"/>
                <w:sz w:val="18"/>
              </w:rPr>
            </w:pPr>
            <w:r>
              <w:rPr>
                <w:rFonts w:eastAsia="楷体_GB2312"/>
                <w:sz w:val="18"/>
              </w:rPr>
              <w:t>单笔贷款最短到期期限（月）</w:t>
            </w:r>
          </w:p>
        </w:tc>
        <w:tc>
          <w:tcPr>
            <w:tcW w:w="1536" w:type="dxa"/>
            <w:gridSpan w:val="2"/>
            <w:tcBorders>
              <w:top w:val="single" w:color="auto" w:sz="4" w:space="0"/>
              <w:left w:val="single" w:color="auto" w:sz="4" w:space="0"/>
              <w:bottom w:val="single" w:color="auto" w:sz="4" w:space="0"/>
              <w:right w:val="single" w:color="auto" w:sz="4" w:space="0"/>
            </w:tcBorders>
          </w:tcPr>
          <w:p w14:paraId="5CF7A6DD">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23C966A6">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0073AA2D">
            <w:pPr>
              <w:widowControl/>
              <w:spacing w:line="360" w:lineRule="auto"/>
              <w:jc w:val="left"/>
              <w:rPr>
                <w:rFonts w:eastAsia="楷体_GB2312"/>
                <w:sz w:val="18"/>
                <w:szCs w:val="18"/>
              </w:rPr>
            </w:pPr>
          </w:p>
        </w:tc>
      </w:tr>
      <w:tr w14:paraId="580EC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left w:val="single" w:color="auto" w:sz="4" w:space="0"/>
              <w:bottom w:val="single" w:color="auto" w:sz="4" w:space="0"/>
              <w:right w:val="single" w:color="auto" w:sz="4" w:space="0"/>
            </w:tcBorders>
          </w:tcPr>
          <w:p w14:paraId="6A158EA9">
            <w:pPr>
              <w:widowControl/>
              <w:spacing w:line="360" w:lineRule="auto"/>
              <w:jc w:val="left"/>
              <w:rPr>
                <w:rFonts w:eastAsia="楷体_GB2312"/>
                <w:sz w:val="18"/>
                <w:szCs w:val="18"/>
              </w:rPr>
            </w:pPr>
            <w:r>
              <w:rPr>
                <w:rFonts w:eastAsia="楷体_GB2312"/>
                <w:bCs/>
                <w:szCs w:val="21"/>
              </w:rPr>
              <w:t>（三）入池资产利率特征</w:t>
            </w:r>
          </w:p>
        </w:tc>
      </w:tr>
      <w:tr w14:paraId="3C5B4F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49EEA043">
            <w:pPr>
              <w:widowControl/>
              <w:spacing w:line="360" w:lineRule="auto"/>
              <w:jc w:val="left"/>
              <w:rPr>
                <w:rFonts w:eastAsia="楷体_GB2312"/>
                <w:sz w:val="24"/>
              </w:rPr>
            </w:pPr>
          </w:p>
        </w:tc>
        <w:tc>
          <w:tcPr>
            <w:tcW w:w="1536" w:type="dxa"/>
            <w:gridSpan w:val="2"/>
            <w:tcBorders>
              <w:top w:val="single" w:color="auto" w:sz="4" w:space="0"/>
              <w:left w:val="single" w:color="auto" w:sz="4" w:space="0"/>
              <w:bottom w:val="single" w:color="auto" w:sz="4" w:space="0"/>
              <w:right w:val="single" w:color="auto" w:sz="4" w:space="0"/>
            </w:tcBorders>
          </w:tcPr>
          <w:p w14:paraId="6286FDBC">
            <w:pPr>
              <w:widowControl/>
              <w:spacing w:line="360" w:lineRule="auto"/>
              <w:jc w:val="center"/>
              <w:rPr>
                <w:rFonts w:eastAsia="楷体_GB2312"/>
                <w:b/>
                <w:sz w:val="18"/>
                <w:szCs w:val="18"/>
                <w:lang w:eastAsia="zh-TW"/>
              </w:rPr>
            </w:pPr>
            <w:r>
              <w:rPr>
                <w:rFonts w:eastAsia="楷体_GB2312"/>
                <w:b/>
                <w:sz w:val="18"/>
                <w:szCs w:val="18"/>
                <w:lang w:eastAsia="zh-TW"/>
              </w:rPr>
              <w:t>初始起算日</w:t>
            </w:r>
          </w:p>
        </w:tc>
        <w:tc>
          <w:tcPr>
            <w:tcW w:w="1603" w:type="dxa"/>
            <w:gridSpan w:val="2"/>
            <w:tcBorders>
              <w:top w:val="single" w:color="auto" w:sz="4" w:space="0"/>
              <w:left w:val="single" w:color="auto" w:sz="4" w:space="0"/>
              <w:bottom w:val="single" w:color="auto" w:sz="4" w:space="0"/>
              <w:right w:val="single" w:color="auto" w:sz="4" w:space="0"/>
            </w:tcBorders>
          </w:tcPr>
          <w:p w14:paraId="6FC0F581">
            <w:pPr>
              <w:widowControl/>
              <w:spacing w:line="360" w:lineRule="auto"/>
              <w:jc w:val="left"/>
              <w:rPr>
                <w:rFonts w:eastAsia="楷体_GB2312"/>
                <w:b/>
                <w:sz w:val="18"/>
                <w:szCs w:val="18"/>
                <w:lang w:eastAsia="zh-TW"/>
              </w:rPr>
            </w:pPr>
            <w:r>
              <w:rPr>
                <w:rFonts w:eastAsia="楷体_GB2312"/>
                <w:b/>
                <w:sz w:val="18"/>
                <w:szCs w:val="18"/>
                <w:lang w:eastAsia="zh-TW"/>
              </w:rPr>
              <w:t>上一期期末</w:t>
            </w:r>
          </w:p>
        </w:tc>
        <w:tc>
          <w:tcPr>
            <w:tcW w:w="2960" w:type="dxa"/>
            <w:gridSpan w:val="3"/>
            <w:tcBorders>
              <w:top w:val="single" w:color="auto" w:sz="4" w:space="0"/>
              <w:left w:val="single" w:color="auto" w:sz="4" w:space="0"/>
              <w:bottom w:val="single" w:color="auto" w:sz="4" w:space="0"/>
              <w:right w:val="single" w:color="auto" w:sz="4" w:space="0"/>
            </w:tcBorders>
          </w:tcPr>
          <w:p w14:paraId="58973865">
            <w:pPr>
              <w:widowControl/>
              <w:spacing w:line="360" w:lineRule="auto"/>
              <w:jc w:val="left"/>
              <w:rPr>
                <w:rFonts w:eastAsia="楷体_GB2312"/>
                <w:b/>
                <w:sz w:val="18"/>
                <w:szCs w:val="18"/>
                <w:lang w:eastAsia="zh-TW"/>
              </w:rPr>
            </w:pPr>
            <w:r>
              <w:rPr>
                <w:rFonts w:eastAsia="楷体_GB2312"/>
                <w:b/>
                <w:sz w:val="18"/>
                <w:szCs w:val="18"/>
                <w:lang w:eastAsia="zh-TW"/>
              </w:rPr>
              <w:t>本期期末</w:t>
            </w:r>
          </w:p>
        </w:tc>
      </w:tr>
      <w:tr w14:paraId="6FAA4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15F7C064">
            <w:pPr>
              <w:widowControl/>
              <w:spacing w:line="360" w:lineRule="auto"/>
              <w:jc w:val="left"/>
              <w:rPr>
                <w:rFonts w:eastAsia="楷体_GB2312"/>
                <w:sz w:val="18"/>
                <w:lang w:eastAsia="zh-TW"/>
              </w:rPr>
            </w:pPr>
            <w:r>
              <w:rPr>
                <w:rFonts w:eastAsia="楷体_GB2312"/>
                <w:sz w:val="18"/>
                <w:lang w:eastAsia="zh-TW"/>
              </w:rPr>
              <w:t>加权平均贷款利率</w:t>
            </w:r>
          </w:p>
        </w:tc>
        <w:tc>
          <w:tcPr>
            <w:tcW w:w="1536" w:type="dxa"/>
            <w:gridSpan w:val="2"/>
            <w:tcBorders>
              <w:top w:val="single" w:color="auto" w:sz="4" w:space="0"/>
              <w:left w:val="single" w:color="auto" w:sz="4" w:space="0"/>
              <w:bottom w:val="single" w:color="auto" w:sz="4" w:space="0"/>
              <w:right w:val="single" w:color="auto" w:sz="4" w:space="0"/>
            </w:tcBorders>
          </w:tcPr>
          <w:p w14:paraId="5C9C8B87">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7CA193A7">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5DAA7729">
            <w:pPr>
              <w:widowControl/>
              <w:spacing w:line="360" w:lineRule="auto"/>
              <w:jc w:val="left"/>
              <w:rPr>
                <w:rFonts w:eastAsia="楷体_GB2312"/>
                <w:sz w:val="18"/>
                <w:szCs w:val="18"/>
                <w:lang w:eastAsia="zh-TW"/>
              </w:rPr>
            </w:pPr>
          </w:p>
        </w:tc>
      </w:tr>
      <w:tr w14:paraId="6EEA53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72419E46">
            <w:pPr>
              <w:widowControl/>
              <w:spacing w:line="360" w:lineRule="auto"/>
              <w:jc w:val="left"/>
              <w:rPr>
                <w:rFonts w:eastAsia="楷体_GB2312"/>
                <w:sz w:val="18"/>
                <w:lang w:eastAsia="zh-TW"/>
              </w:rPr>
            </w:pPr>
            <w:r>
              <w:rPr>
                <w:rFonts w:eastAsia="楷体_GB2312"/>
                <w:sz w:val="18"/>
                <w:lang w:eastAsia="zh-TW"/>
              </w:rPr>
              <w:t>最高贷款利率</w:t>
            </w:r>
          </w:p>
        </w:tc>
        <w:tc>
          <w:tcPr>
            <w:tcW w:w="1536" w:type="dxa"/>
            <w:gridSpan w:val="2"/>
            <w:tcBorders>
              <w:top w:val="single" w:color="auto" w:sz="4" w:space="0"/>
              <w:left w:val="single" w:color="auto" w:sz="4" w:space="0"/>
              <w:bottom w:val="single" w:color="auto" w:sz="4" w:space="0"/>
              <w:right w:val="single" w:color="auto" w:sz="4" w:space="0"/>
            </w:tcBorders>
          </w:tcPr>
          <w:p w14:paraId="5A61DC23">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77471C87">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7E1E63DF">
            <w:pPr>
              <w:widowControl/>
              <w:spacing w:line="360" w:lineRule="auto"/>
              <w:jc w:val="left"/>
              <w:rPr>
                <w:rFonts w:eastAsia="楷体_GB2312"/>
                <w:sz w:val="18"/>
                <w:szCs w:val="18"/>
                <w:lang w:eastAsia="zh-TW"/>
              </w:rPr>
            </w:pPr>
          </w:p>
        </w:tc>
      </w:tr>
      <w:tr w14:paraId="007D33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2E934314">
            <w:pPr>
              <w:widowControl/>
              <w:spacing w:line="360" w:lineRule="auto"/>
              <w:jc w:val="left"/>
              <w:rPr>
                <w:rFonts w:eastAsia="楷体_GB2312"/>
                <w:sz w:val="18"/>
                <w:lang w:eastAsia="zh-TW"/>
              </w:rPr>
            </w:pPr>
            <w:r>
              <w:rPr>
                <w:rFonts w:eastAsia="楷体_GB2312"/>
                <w:sz w:val="18"/>
                <w:lang w:eastAsia="zh-TW"/>
              </w:rPr>
              <w:t>最低贷款利率</w:t>
            </w:r>
          </w:p>
        </w:tc>
        <w:tc>
          <w:tcPr>
            <w:tcW w:w="1536" w:type="dxa"/>
            <w:gridSpan w:val="2"/>
            <w:tcBorders>
              <w:top w:val="single" w:color="auto" w:sz="4" w:space="0"/>
              <w:left w:val="single" w:color="auto" w:sz="4" w:space="0"/>
              <w:bottom w:val="single" w:color="auto" w:sz="4" w:space="0"/>
              <w:right w:val="single" w:color="auto" w:sz="4" w:space="0"/>
            </w:tcBorders>
          </w:tcPr>
          <w:p w14:paraId="6281126E">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0CAD00B2">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6400745E">
            <w:pPr>
              <w:widowControl/>
              <w:spacing w:line="360" w:lineRule="auto"/>
              <w:jc w:val="left"/>
              <w:rPr>
                <w:rFonts w:eastAsia="楷体_GB2312"/>
                <w:sz w:val="18"/>
                <w:szCs w:val="18"/>
                <w:lang w:eastAsia="zh-TW"/>
              </w:rPr>
            </w:pPr>
          </w:p>
        </w:tc>
      </w:tr>
      <w:tr w14:paraId="7D73D3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left w:val="single" w:color="auto" w:sz="4" w:space="0"/>
              <w:bottom w:val="single" w:color="auto" w:sz="4" w:space="0"/>
              <w:right w:val="single" w:color="auto" w:sz="4" w:space="0"/>
            </w:tcBorders>
          </w:tcPr>
          <w:p w14:paraId="5E3A4B9E">
            <w:pPr>
              <w:widowControl/>
              <w:spacing w:line="360" w:lineRule="auto"/>
              <w:jc w:val="left"/>
              <w:rPr>
                <w:rFonts w:eastAsia="楷体_GB2312"/>
                <w:sz w:val="18"/>
                <w:szCs w:val="18"/>
              </w:rPr>
            </w:pPr>
            <w:r>
              <w:rPr>
                <w:rFonts w:eastAsia="楷体_GB2312"/>
                <w:bCs/>
                <w:szCs w:val="21"/>
              </w:rPr>
              <w:t>（四）借款人分布情况</w:t>
            </w:r>
          </w:p>
        </w:tc>
      </w:tr>
      <w:tr w14:paraId="6BA17D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4" w:type="dxa"/>
            <w:tcBorders>
              <w:top w:val="single" w:color="auto" w:sz="4" w:space="0"/>
              <w:left w:val="single" w:color="auto" w:sz="4" w:space="0"/>
              <w:bottom w:val="single" w:color="auto" w:sz="4" w:space="0"/>
              <w:right w:val="single" w:color="auto" w:sz="4" w:space="0"/>
            </w:tcBorders>
          </w:tcPr>
          <w:p w14:paraId="5F74792E">
            <w:pPr>
              <w:widowControl/>
              <w:spacing w:line="360" w:lineRule="auto"/>
              <w:jc w:val="left"/>
              <w:rPr>
                <w:rFonts w:eastAsia="楷体_GB2312"/>
                <w:bCs/>
                <w:szCs w:val="21"/>
                <w:lang w:eastAsia="zh-TW"/>
              </w:rPr>
            </w:pPr>
            <w:r>
              <w:rPr>
                <w:rFonts w:eastAsia="楷体_GB2312"/>
                <w:sz w:val="18"/>
              </w:rPr>
              <w:t>债务人类型</w:t>
            </w:r>
          </w:p>
        </w:tc>
        <w:tc>
          <w:tcPr>
            <w:tcW w:w="1214" w:type="dxa"/>
            <w:tcBorders>
              <w:top w:val="single" w:color="auto" w:sz="4" w:space="0"/>
              <w:left w:val="single" w:color="auto" w:sz="4" w:space="0"/>
              <w:bottom w:val="single" w:color="auto" w:sz="4" w:space="0"/>
              <w:right w:val="single" w:color="auto" w:sz="4" w:space="0"/>
            </w:tcBorders>
          </w:tcPr>
          <w:p w14:paraId="1259C370">
            <w:pPr>
              <w:widowControl/>
              <w:spacing w:line="360" w:lineRule="auto"/>
              <w:jc w:val="left"/>
              <w:rPr>
                <w:rFonts w:eastAsia="楷体_GB2312"/>
                <w:bCs/>
                <w:szCs w:val="21"/>
              </w:rPr>
            </w:pPr>
            <w:r>
              <w:rPr>
                <w:rFonts w:eastAsia="楷体_GB2312"/>
                <w:sz w:val="18"/>
              </w:rPr>
              <w:t>初始起算日入池金额</w:t>
            </w:r>
          </w:p>
        </w:tc>
        <w:tc>
          <w:tcPr>
            <w:tcW w:w="1214" w:type="dxa"/>
            <w:tcBorders>
              <w:top w:val="single" w:color="auto" w:sz="4" w:space="0"/>
              <w:left w:val="single" w:color="auto" w:sz="4" w:space="0"/>
              <w:bottom w:val="single" w:color="auto" w:sz="4" w:space="0"/>
              <w:right w:val="single" w:color="auto" w:sz="4" w:space="0"/>
            </w:tcBorders>
          </w:tcPr>
          <w:p w14:paraId="18AB5E7B">
            <w:pPr>
              <w:widowControl/>
              <w:spacing w:line="360" w:lineRule="auto"/>
              <w:jc w:val="left"/>
              <w:rPr>
                <w:rFonts w:eastAsia="楷体_GB2312"/>
                <w:bCs/>
                <w:szCs w:val="21"/>
              </w:rPr>
            </w:pPr>
            <w:r>
              <w:rPr>
                <w:rFonts w:eastAsia="楷体_GB2312"/>
                <w:sz w:val="18"/>
              </w:rPr>
              <w:t>初始起算日入池金额占比（%）</w:t>
            </w:r>
          </w:p>
        </w:tc>
        <w:tc>
          <w:tcPr>
            <w:tcW w:w="1215" w:type="dxa"/>
            <w:gridSpan w:val="2"/>
            <w:tcBorders>
              <w:top w:val="single" w:color="auto" w:sz="4" w:space="0"/>
              <w:left w:val="single" w:color="auto" w:sz="4" w:space="0"/>
              <w:bottom w:val="single" w:color="auto" w:sz="4" w:space="0"/>
              <w:right w:val="single" w:color="auto" w:sz="4" w:space="0"/>
            </w:tcBorders>
          </w:tcPr>
          <w:p w14:paraId="01545068">
            <w:pPr>
              <w:widowControl/>
              <w:spacing w:line="360" w:lineRule="auto"/>
              <w:jc w:val="left"/>
              <w:rPr>
                <w:rFonts w:eastAsia="楷体_GB2312"/>
                <w:bCs/>
                <w:szCs w:val="21"/>
              </w:rPr>
            </w:pPr>
            <w:r>
              <w:rPr>
                <w:rFonts w:eastAsia="楷体_GB2312"/>
                <w:sz w:val="18"/>
              </w:rPr>
              <w:t>本次报告期末贷款笔数</w:t>
            </w:r>
          </w:p>
        </w:tc>
        <w:tc>
          <w:tcPr>
            <w:tcW w:w="1214" w:type="dxa"/>
            <w:gridSpan w:val="2"/>
            <w:tcBorders>
              <w:top w:val="single" w:color="auto" w:sz="4" w:space="0"/>
              <w:left w:val="single" w:color="auto" w:sz="4" w:space="0"/>
              <w:bottom w:val="single" w:color="auto" w:sz="4" w:space="0"/>
              <w:right w:val="single" w:color="auto" w:sz="4" w:space="0"/>
            </w:tcBorders>
          </w:tcPr>
          <w:p w14:paraId="1A9D5058">
            <w:pPr>
              <w:widowControl/>
              <w:spacing w:line="360" w:lineRule="auto"/>
              <w:jc w:val="left"/>
              <w:rPr>
                <w:rFonts w:eastAsia="楷体_GB2312"/>
                <w:bCs/>
                <w:szCs w:val="21"/>
              </w:rPr>
            </w:pPr>
            <w:r>
              <w:rPr>
                <w:rFonts w:eastAsia="楷体_GB2312"/>
                <w:sz w:val="18"/>
              </w:rPr>
              <w:t>本次报告期末贷款笔数占比（%）</w:t>
            </w:r>
          </w:p>
        </w:tc>
        <w:tc>
          <w:tcPr>
            <w:tcW w:w="1214" w:type="dxa"/>
            <w:tcBorders>
              <w:top w:val="single" w:color="auto" w:sz="4" w:space="0"/>
              <w:left w:val="single" w:color="auto" w:sz="4" w:space="0"/>
              <w:bottom w:val="single" w:color="auto" w:sz="4" w:space="0"/>
              <w:right w:val="single" w:color="auto" w:sz="4" w:space="0"/>
            </w:tcBorders>
          </w:tcPr>
          <w:p w14:paraId="201FFA0B">
            <w:pPr>
              <w:widowControl/>
              <w:spacing w:line="360" w:lineRule="auto"/>
              <w:jc w:val="left"/>
              <w:rPr>
                <w:rFonts w:eastAsia="楷体_GB2312"/>
                <w:bCs/>
                <w:szCs w:val="21"/>
              </w:rPr>
            </w:pPr>
            <w:r>
              <w:rPr>
                <w:rFonts w:eastAsia="楷体_GB2312"/>
                <w:sz w:val="18"/>
              </w:rPr>
              <w:t>本次报告期末未偿金额</w:t>
            </w:r>
          </w:p>
        </w:tc>
        <w:tc>
          <w:tcPr>
            <w:tcW w:w="1215" w:type="dxa"/>
            <w:tcBorders>
              <w:top w:val="single" w:color="auto" w:sz="4" w:space="0"/>
              <w:left w:val="single" w:color="auto" w:sz="4" w:space="0"/>
              <w:bottom w:val="single" w:color="auto" w:sz="4" w:space="0"/>
              <w:right w:val="single" w:color="auto" w:sz="4" w:space="0"/>
            </w:tcBorders>
          </w:tcPr>
          <w:p w14:paraId="05C82E36">
            <w:pPr>
              <w:widowControl/>
              <w:spacing w:line="360" w:lineRule="auto"/>
              <w:jc w:val="left"/>
              <w:rPr>
                <w:rFonts w:eastAsia="楷体_GB2312"/>
                <w:bCs/>
                <w:szCs w:val="21"/>
              </w:rPr>
            </w:pPr>
            <w:r>
              <w:rPr>
                <w:rFonts w:eastAsia="楷体_GB2312"/>
                <w:sz w:val="18"/>
              </w:rPr>
              <w:t>本次报告期末未偿金额占比（%）</w:t>
            </w:r>
          </w:p>
        </w:tc>
      </w:tr>
      <w:tr w14:paraId="5EFF6E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4" w:type="dxa"/>
            <w:tcBorders>
              <w:top w:val="single" w:color="auto" w:sz="4" w:space="0"/>
              <w:left w:val="single" w:color="auto" w:sz="4" w:space="0"/>
              <w:bottom w:val="single" w:color="auto" w:sz="4" w:space="0"/>
              <w:right w:val="single" w:color="auto" w:sz="4" w:space="0"/>
            </w:tcBorders>
          </w:tcPr>
          <w:p w14:paraId="2D681CE3">
            <w:pPr>
              <w:widowControl/>
              <w:spacing w:line="360" w:lineRule="auto"/>
              <w:jc w:val="left"/>
              <w:rPr>
                <w:rFonts w:eastAsia="楷体_GB2312"/>
                <w:bCs/>
                <w:szCs w:val="21"/>
                <w:lang w:eastAsia="zh-TW"/>
              </w:rPr>
            </w:pPr>
            <w:r>
              <w:rPr>
                <w:rFonts w:eastAsia="楷体_GB2312"/>
                <w:sz w:val="18"/>
                <w:lang w:eastAsia="zh-TW"/>
              </w:rPr>
              <w:t>【</w:t>
            </w:r>
            <w:r>
              <w:rPr>
                <w:rFonts w:eastAsia="楷体_GB2312"/>
                <w:sz w:val="18"/>
              </w:rPr>
              <w:t>企业贷款</w:t>
            </w:r>
            <w:r>
              <w:rPr>
                <w:rFonts w:eastAsia="楷体_GB2312"/>
                <w:sz w:val="18"/>
                <w:lang w:eastAsia="zh-TW"/>
              </w:rPr>
              <w:t>】</w:t>
            </w:r>
          </w:p>
        </w:tc>
        <w:tc>
          <w:tcPr>
            <w:tcW w:w="1214" w:type="dxa"/>
            <w:tcBorders>
              <w:top w:val="single" w:color="auto" w:sz="4" w:space="0"/>
              <w:left w:val="single" w:color="auto" w:sz="4" w:space="0"/>
              <w:bottom w:val="single" w:color="auto" w:sz="4" w:space="0"/>
              <w:right w:val="single" w:color="auto" w:sz="4" w:space="0"/>
            </w:tcBorders>
          </w:tcPr>
          <w:p w14:paraId="0E290C68">
            <w:pPr>
              <w:widowControl/>
              <w:spacing w:line="360" w:lineRule="auto"/>
              <w:jc w:val="left"/>
              <w:rPr>
                <w:rFonts w:eastAsia="楷体_GB2312"/>
                <w:bCs/>
                <w:szCs w:val="21"/>
                <w:lang w:eastAsia="zh-TW"/>
              </w:rPr>
            </w:pPr>
          </w:p>
        </w:tc>
        <w:tc>
          <w:tcPr>
            <w:tcW w:w="1214" w:type="dxa"/>
            <w:tcBorders>
              <w:top w:val="single" w:color="auto" w:sz="4" w:space="0"/>
              <w:left w:val="single" w:color="auto" w:sz="4" w:space="0"/>
              <w:bottom w:val="single" w:color="auto" w:sz="4" w:space="0"/>
              <w:right w:val="single" w:color="auto" w:sz="4" w:space="0"/>
            </w:tcBorders>
          </w:tcPr>
          <w:p w14:paraId="57CDA063">
            <w:pPr>
              <w:widowControl/>
              <w:spacing w:line="360" w:lineRule="auto"/>
              <w:jc w:val="left"/>
              <w:rPr>
                <w:rFonts w:eastAsia="楷体_GB2312"/>
                <w:bCs/>
                <w:szCs w:val="21"/>
                <w:lang w:eastAsia="zh-TW"/>
              </w:rPr>
            </w:pPr>
          </w:p>
        </w:tc>
        <w:tc>
          <w:tcPr>
            <w:tcW w:w="1215" w:type="dxa"/>
            <w:gridSpan w:val="2"/>
            <w:tcBorders>
              <w:top w:val="single" w:color="auto" w:sz="4" w:space="0"/>
              <w:left w:val="single" w:color="auto" w:sz="4" w:space="0"/>
              <w:bottom w:val="single" w:color="auto" w:sz="4" w:space="0"/>
              <w:right w:val="single" w:color="auto" w:sz="4" w:space="0"/>
            </w:tcBorders>
          </w:tcPr>
          <w:p w14:paraId="068ECF0F">
            <w:pPr>
              <w:widowControl/>
              <w:spacing w:line="360" w:lineRule="auto"/>
              <w:jc w:val="left"/>
              <w:rPr>
                <w:rFonts w:eastAsia="楷体_GB2312"/>
                <w:bCs/>
                <w:szCs w:val="21"/>
                <w:lang w:eastAsia="zh-TW"/>
              </w:rPr>
            </w:pPr>
          </w:p>
        </w:tc>
        <w:tc>
          <w:tcPr>
            <w:tcW w:w="1214" w:type="dxa"/>
            <w:gridSpan w:val="2"/>
            <w:tcBorders>
              <w:top w:val="single" w:color="auto" w:sz="4" w:space="0"/>
              <w:left w:val="single" w:color="auto" w:sz="4" w:space="0"/>
              <w:bottom w:val="single" w:color="auto" w:sz="4" w:space="0"/>
              <w:right w:val="single" w:color="auto" w:sz="4" w:space="0"/>
            </w:tcBorders>
          </w:tcPr>
          <w:p w14:paraId="2FAA24CD">
            <w:pPr>
              <w:widowControl/>
              <w:spacing w:line="360" w:lineRule="auto"/>
              <w:jc w:val="left"/>
              <w:rPr>
                <w:rFonts w:eastAsia="楷体_GB2312"/>
                <w:bCs/>
                <w:szCs w:val="21"/>
                <w:lang w:eastAsia="zh-TW"/>
              </w:rPr>
            </w:pPr>
          </w:p>
        </w:tc>
        <w:tc>
          <w:tcPr>
            <w:tcW w:w="1214" w:type="dxa"/>
            <w:tcBorders>
              <w:top w:val="single" w:color="auto" w:sz="4" w:space="0"/>
              <w:left w:val="single" w:color="auto" w:sz="4" w:space="0"/>
              <w:bottom w:val="single" w:color="auto" w:sz="4" w:space="0"/>
              <w:right w:val="single" w:color="auto" w:sz="4" w:space="0"/>
            </w:tcBorders>
          </w:tcPr>
          <w:p w14:paraId="2D52A8B6">
            <w:pPr>
              <w:widowControl/>
              <w:spacing w:line="360" w:lineRule="auto"/>
              <w:jc w:val="left"/>
              <w:rPr>
                <w:rFonts w:eastAsia="楷体_GB2312"/>
                <w:bCs/>
                <w:szCs w:val="21"/>
                <w:lang w:eastAsia="zh-TW"/>
              </w:rPr>
            </w:pPr>
          </w:p>
        </w:tc>
        <w:tc>
          <w:tcPr>
            <w:tcW w:w="1215" w:type="dxa"/>
            <w:tcBorders>
              <w:top w:val="single" w:color="auto" w:sz="4" w:space="0"/>
              <w:left w:val="single" w:color="auto" w:sz="4" w:space="0"/>
              <w:bottom w:val="single" w:color="auto" w:sz="4" w:space="0"/>
              <w:right w:val="single" w:color="auto" w:sz="4" w:space="0"/>
            </w:tcBorders>
          </w:tcPr>
          <w:p w14:paraId="571F1898">
            <w:pPr>
              <w:widowControl/>
              <w:spacing w:line="360" w:lineRule="auto"/>
              <w:jc w:val="left"/>
              <w:rPr>
                <w:rFonts w:eastAsia="楷体_GB2312"/>
                <w:bCs/>
                <w:szCs w:val="21"/>
                <w:lang w:eastAsia="zh-TW"/>
              </w:rPr>
            </w:pPr>
          </w:p>
        </w:tc>
      </w:tr>
      <w:tr w14:paraId="409EE2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4" w:type="dxa"/>
            <w:tcBorders>
              <w:top w:val="single" w:color="auto" w:sz="4" w:space="0"/>
              <w:left w:val="single" w:color="auto" w:sz="4" w:space="0"/>
              <w:bottom w:val="single" w:color="auto" w:sz="4" w:space="0"/>
              <w:right w:val="single" w:color="auto" w:sz="4" w:space="0"/>
            </w:tcBorders>
          </w:tcPr>
          <w:p w14:paraId="083301A8">
            <w:pPr>
              <w:widowControl/>
              <w:spacing w:line="360" w:lineRule="auto"/>
              <w:jc w:val="left"/>
              <w:rPr>
                <w:rFonts w:eastAsia="楷体_GB2312"/>
                <w:bCs/>
                <w:szCs w:val="21"/>
                <w:lang w:eastAsia="zh-TW"/>
              </w:rPr>
            </w:pPr>
            <w:r>
              <w:rPr>
                <w:rFonts w:eastAsia="楷体_GB2312"/>
                <w:sz w:val="18"/>
                <w:lang w:eastAsia="zh-TW"/>
              </w:rPr>
              <w:t>【】</w:t>
            </w:r>
          </w:p>
        </w:tc>
        <w:tc>
          <w:tcPr>
            <w:tcW w:w="1214" w:type="dxa"/>
            <w:tcBorders>
              <w:top w:val="single" w:color="auto" w:sz="4" w:space="0"/>
              <w:left w:val="single" w:color="auto" w:sz="4" w:space="0"/>
              <w:bottom w:val="single" w:color="auto" w:sz="4" w:space="0"/>
              <w:right w:val="single" w:color="auto" w:sz="4" w:space="0"/>
            </w:tcBorders>
          </w:tcPr>
          <w:p w14:paraId="27D331D2">
            <w:pPr>
              <w:widowControl/>
              <w:spacing w:line="360" w:lineRule="auto"/>
              <w:jc w:val="left"/>
              <w:rPr>
                <w:rFonts w:eastAsia="楷体_GB2312"/>
                <w:bCs/>
                <w:szCs w:val="21"/>
                <w:lang w:eastAsia="zh-TW"/>
              </w:rPr>
            </w:pPr>
          </w:p>
        </w:tc>
        <w:tc>
          <w:tcPr>
            <w:tcW w:w="1214" w:type="dxa"/>
            <w:tcBorders>
              <w:top w:val="single" w:color="auto" w:sz="4" w:space="0"/>
              <w:left w:val="single" w:color="auto" w:sz="4" w:space="0"/>
              <w:bottom w:val="single" w:color="auto" w:sz="4" w:space="0"/>
              <w:right w:val="single" w:color="auto" w:sz="4" w:space="0"/>
            </w:tcBorders>
          </w:tcPr>
          <w:p w14:paraId="6C2B0A12">
            <w:pPr>
              <w:widowControl/>
              <w:spacing w:line="360" w:lineRule="auto"/>
              <w:jc w:val="left"/>
              <w:rPr>
                <w:rFonts w:eastAsia="楷体_GB2312"/>
                <w:bCs/>
                <w:szCs w:val="21"/>
                <w:lang w:eastAsia="zh-TW"/>
              </w:rPr>
            </w:pPr>
          </w:p>
        </w:tc>
        <w:tc>
          <w:tcPr>
            <w:tcW w:w="1215" w:type="dxa"/>
            <w:gridSpan w:val="2"/>
            <w:tcBorders>
              <w:top w:val="single" w:color="auto" w:sz="4" w:space="0"/>
              <w:left w:val="single" w:color="auto" w:sz="4" w:space="0"/>
              <w:bottom w:val="single" w:color="auto" w:sz="4" w:space="0"/>
              <w:right w:val="single" w:color="auto" w:sz="4" w:space="0"/>
            </w:tcBorders>
          </w:tcPr>
          <w:p w14:paraId="4A2E4B00">
            <w:pPr>
              <w:widowControl/>
              <w:spacing w:line="360" w:lineRule="auto"/>
              <w:jc w:val="left"/>
              <w:rPr>
                <w:rFonts w:eastAsia="楷体_GB2312"/>
                <w:bCs/>
                <w:szCs w:val="21"/>
                <w:lang w:eastAsia="zh-TW"/>
              </w:rPr>
            </w:pPr>
          </w:p>
        </w:tc>
        <w:tc>
          <w:tcPr>
            <w:tcW w:w="1214" w:type="dxa"/>
            <w:gridSpan w:val="2"/>
            <w:tcBorders>
              <w:top w:val="single" w:color="auto" w:sz="4" w:space="0"/>
              <w:left w:val="single" w:color="auto" w:sz="4" w:space="0"/>
              <w:bottom w:val="single" w:color="auto" w:sz="4" w:space="0"/>
              <w:right w:val="single" w:color="auto" w:sz="4" w:space="0"/>
            </w:tcBorders>
          </w:tcPr>
          <w:p w14:paraId="6D001F95">
            <w:pPr>
              <w:widowControl/>
              <w:spacing w:line="360" w:lineRule="auto"/>
              <w:jc w:val="left"/>
              <w:rPr>
                <w:rFonts w:eastAsia="楷体_GB2312"/>
                <w:bCs/>
                <w:szCs w:val="21"/>
                <w:lang w:eastAsia="zh-TW"/>
              </w:rPr>
            </w:pPr>
          </w:p>
        </w:tc>
        <w:tc>
          <w:tcPr>
            <w:tcW w:w="1214" w:type="dxa"/>
            <w:tcBorders>
              <w:top w:val="single" w:color="auto" w:sz="4" w:space="0"/>
              <w:left w:val="single" w:color="auto" w:sz="4" w:space="0"/>
              <w:bottom w:val="single" w:color="auto" w:sz="4" w:space="0"/>
              <w:right w:val="single" w:color="auto" w:sz="4" w:space="0"/>
            </w:tcBorders>
          </w:tcPr>
          <w:p w14:paraId="38C87624">
            <w:pPr>
              <w:widowControl/>
              <w:spacing w:line="360" w:lineRule="auto"/>
              <w:jc w:val="left"/>
              <w:rPr>
                <w:rFonts w:eastAsia="楷体_GB2312"/>
                <w:bCs/>
                <w:szCs w:val="21"/>
                <w:lang w:eastAsia="zh-TW"/>
              </w:rPr>
            </w:pPr>
          </w:p>
        </w:tc>
        <w:tc>
          <w:tcPr>
            <w:tcW w:w="1215" w:type="dxa"/>
            <w:tcBorders>
              <w:top w:val="single" w:color="auto" w:sz="4" w:space="0"/>
              <w:left w:val="single" w:color="auto" w:sz="4" w:space="0"/>
              <w:bottom w:val="single" w:color="auto" w:sz="4" w:space="0"/>
              <w:right w:val="single" w:color="auto" w:sz="4" w:space="0"/>
            </w:tcBorders>
          </w:tcPr>
          <w:p w14:paraId="7D6902D7">
            <w:pPr>
              <w:widowControl/>
              <w:spacing w:line="360" w:lineRule="auto"/>
              <w:jc w:val="left"/>
              <w:rPr>
                <w:rFonts w:eastAsia="楷体_GB2312"/>
                <w:bCs/>
                <w:szCs w:val="21"/>
                <w:lang w:eastAsia="zh-TW"/>
              </w:rPr>
            </w:pPr>
          </w:p>
        </w:tc>
      </w:tr>
      <w:tr w14:paraId="45CC1D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bottom w:val="single" w:color="auto" w:sz="4" w:space="0"/>
            </w:tcBorders>
          </w:tcPr>
          <w:p w14:paraId="2A52CE96">
            <w:pPr>
              <w:widowControl/>
              <w:spacing w:line="360" w:lineRule="auto"/>
              <w:jc w:val="left"/>
              <w:rPr>
                <w:rFonts w:eastAsia="楷体_GB2312"/>
                <w:sz w:val="18"/>
                <w:szCs w:val="18"/>
              </w:rPr>
            </w:pPr>
            <w:r>
              <w:rPr>
                <w:rFonts w:eastAsia="楷体_GB2312"/>
                <w:bCs/>
                <w:szCs w:val="21"/>
              </w:rPr>
              <w:t>（五）入池资产借款用途</w:t>
            </w:r>
          </w:p>
        </w:tc>
      </w:tr>
      <w:tr w14:paraId="58205A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bottom w:val="single" w:color="auto" w:sz="4" w:space="0"/>
              <w:right w:val="single" w:color="auto" w:sz="4" w:space="0"/>
            </w:tcBorders>
          </w:tcPr>
          <w:p w14:paraId="428F86ED">
            <w:pPr>
              <w:widowControl/>
              <w:spacing w:line="360" w:lineRule="auto"/>
              <w:jc w:val="left"/>
              <w:rPr>
                <w:rFonts w:eastAsia="楷体_GB2312"/>
                <w:sz w:val="24"/>
              </w:rPr>
            </w:pPr>
          </w:p>
        </w:tc>
        <w:tc>
          <w:tcPr>
            <w:tcW w:w="1536" w:type="dxa"/>
            <w:gridSpan w:val="2"/>
            <w:tcBorders>
              <w:top w:val="single" w:color="auto" w:sz="4" w:space="0"/>
              <w:left w:val="single" w:color="auto" w:sz="4" w:space="0"/>
              <w:bottom w:val="single" w:color="auto" w:sz="4" w:space="0"/>
              <w:right w:val="single" w:color="auto" w:sz="4" w:space="0"/>
            </w:tcBorders>
          </w:tcPr>
          <w:p w14:paraId="1737FB88">
            <w:pPr>
              <w:widowControl/>
              <w:spacing w:line="360" w:lineRule="auto"/>
              <w:jc w:val="center"/>
              <w:rPr>
                <w:rFonts w:eastAsia="楷体_GB2312"/>
                <w:b/>
                <w:sz w:val="18"/>
                <w:szCs w:val="18"/>
                <w:lang w:eastAsia="zh-TW"/>
              </w:rPr>
            </w:pPr>
            <w:r>
              <w:rPr>
                <w:rFonts w:eastAsia="楷体_GB2312"/>
                <w:b/>
                <w:sz w:val="18"/>
                <w:szCs w:val="18"/>
                <w:lang w:eastAsia="zh-TW"/>
              </w:rPr>
              <w:t>初始起算日</w:t>
            </w:r>
          </w:p>
        </w:tc>
        <w:tc>
          <w:tcPr>
            <w:tcW w:w="1603" w:type="dxa"/>
            <w:gridSpan w:val="2"/>
            <w:tcBorders>
              <w:top w:val="single" w:color="auto" w:sz="4" w:space="0"/>
              <w:left w:val="single" w:color="auto" w:sz="4" w:space="0"/>
              <w:bottom w:val="single" w:color="auto" w:sz="4" w:space="0"/>
              <w:right w:val="single" w:color="auto" w:sz="4" w:space="0"/>
            </w:tcBorders>
          </w:tcPr>
          <w:p w14:paraId="59B9442E">
            <w:pPr>
              <w:widowControl/>
              <w:spacing w:line="360" w:lineRule="auto"/>
              <w:jc w:val="left"/>
              <w:rPr>
                <w:rFonts w:eastAsia="楷体_GB2312"/>
                <w:b/>
                <w:sz w:val="18"/>
                <w:szCs w:val="18"/>
                <w:lang w:eastAsia="zh-TW"/>
              </w:rPr>
            </w:pPr>
            <w:r>
              <w:rPr>
                <w:rFonts w:eastAsia="楷体_GB2312"/>
                <w:b/>
                <w:sz w:val="18"/>
                <w:szCs w:val="18"/>
                <w:lang w:eastAsia="zh-TW"/>
              </w:rPr>
              <w:t>上一期期末</w:t>
            </w:r>
          </w:p>
        </w:tc>
        <w:tc>
          <w:tcPr>
            <w:tcW w:w="2960" w:type="dxa"/>
            <w:gridSpan w:val="3"/>
            <w:tcBorders>
              <w:top w:val="single" w:color="auto" w:sz="4" w:space="0"/>
              <w:left w:val="single" w:color="auto" w:sz="4" w:space="0"/>
              <w:bottom w:val="single" w:color="auto" w:sz="4" w:space="0"/>
            </w:tcBorders>
          </w:tcPr>
          <w:p w14:paraId="33798642">
            <w:pPr>
              <w:widowControl/>
              <w:spacing w:line="360" w:lineRule="auto"/>
              <w:jc w:val="left"/>
              <w:rPr>
                <w:rFonts w:eastAsia="楷体_GB2312"/>
                <w:b/>
                <w:sz w:val="18"/>
                <w:szCs w:val="18"/>
                <w:lang w:eastAsia="zh-TW"/>
              </w:rPr>
            </w:pPr>
            <w:r>
              <w:rPr>
                <w:rFonts w:eastAsia="楷体_GB2312"/>
                <w:b/>
                <w:sz w:val="18"/>
                <w:szCs w:val="18"/>
                <w:lang w:eastAsia="zh-TW"/>
              </w:rPr>
              <w:t>本期期末</w:t>
            </w:r>
          </w:p>
        </w:tc>
      </w:tr>
      <w:tr w14:paraId="1F9A9A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bottom w:val="single" w:color="auto" w:sz="4" w:space="0"/>
              <w:right w:val="single" w:color="auto" w:sz="4" w:space="0"/>
            </w:tcBorders>
          </w:tcPr>
          <w:p w14:paraId="6C4B5FD3">
            <w:pPr>
              <w:widowControl/>
              <w:spacing w:line="360" w:lineRule="auto"/>
              <w:jc w:val="left"/>
              <w:rPr>
                <w:rFonts w:eastAsia="楷体_GB2312"/>
                <w:sz w:val="18"/>
                <w:lang w:eastAsia="zh-TW"/>
              </w:rPr>
            </w:pPr>
          </w:p>
        </w:tc>
        <w:tc>
          <w:tcPr>
            <w:tcW w:w="1536" w:type="dxa"/>
            <w:gridSpan w:val="2"/>
            <w:tcBorders>
              <w:top w:val="single" w:color="auto" w:sz="4" w:space="0"/>
              <w:left w:val="single" w:color="auto" w:sz="4" w:space="0"/>
              <w:bottom w:val="single" w:color="auto" w:sz="4" w:space="0"/>
              <w:right w:val="single" w:color="auto" w:sz="4" w:space="0"/>
            </w:tcBorders>
          </w:tcPr>
          <w:p w14:paraId="22A805AF">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22EED0EF">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tcBorders>
          </w:tcPr>
          <w:p w14:paraId="3ED229CE">
            <w:pPr>
              <w:widowControl/>
              <w:spacing w:line="360" w:lineRule="auto"/>
              <w:jc w:val="left"/>
              <w:rPr>
                <w:rFonts w:eastAsia="楷体_GB2312"/>
                <w:sz w:val="18"/>
                <w:szCs w:val="18"/>
                <w:lang w:eastAsia="zh-TW"/>
              </w:rPr>
            </w:pPr>
          </w:p>
        </w:tc>
      </w:tr>
      <w:tr w14:paraId="631A00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bottom w:val="single" w:color="auto" w:sz="4" w:space="0"/>
              <w:right w:val="single" w:color="auto" w:sz="4" w:space="0"/>
            </w:tcBorders>
          </w:tcPr>
          <w:p w14:paraId="09270CF4">
            <w:pPr>
              <w:widowControl/>
              <w:spacing w:line="360" w:lineRule="auto"/>
              <w:jc w:val="left"/>
              <w:rPr>
                <w:rFonts w:eastAsia="楷体_GB2312"/>
                <w:sz w:val="18"/>
                <w:lang w:eastAsia="zh-TW"/>
              </w:rPr>
            </w:pPr>
          </w:p>
        </w:tc>
        <w:tc>
          <w:tcPr>
            <w:tcW w:w="1536" w:type="dxa"/>
            <w:gridSpan w:val="2"/>
            <w:tcBorders>
              <w:top w:val="single" w:color="auto" w:sz="4" w:space="0"/>
              <w:left w:val="single" w:color="auto" w:sz="4" w:space="0"/>
              <w:bottom w:val="single" w:color="auto" w:sz="4" w:space="0"/>
              <w:right w:val="single" w:color="auto" w:sz="4" w:space="0"/>
            </w:tcBorders>
          </w:tcPr>
          <w:p w14:paraId="3A28B34C">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46734F76">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tcBorders>
          </w:tcPr>
          <w:p w14:paraId="50BC4E70">
            <w:pPr>
              <w:widowControl/>
              <w:spacing w:line="360" w:lineRule="auto"/>
              <w:jc w:val="left"/>
              <w:rPr>
                <w:rFonts w:eastAsia="楷体_GB2312"/>
                <w:sz w:val="18"/>
                <w:szCs w:val="18"/>
                <w:lang w:eastAsia="zh-TW"/>
              </w:rPr>
            </w:pPr>
          </w:p>
        </w:tc>
      </w:tr>
    </w:tbl>
    <w:p w14:paraId="778277A6">
      <w:pPr>
        <w:rPr>
          <w:rFonts w:eastAsia="楷体_GB2312"/>
        </w:rPr>
      </w:pPr>
    </w:p>
    <w:p w14:paraId="633520D3">
      <w:pPr>
        <w:widowControl/>
        <w:jc w:val="left"/>
        <w:rPr>
          <w:rFonts w:eastAsia="楷体_GB2312"/>
        </w:rPr>
      </w:pPr>
      <w:r>
        <w:rPr>
          <w:rFonts w:eastAsia="楷体_GB2312"/>
        </w:rPr>
        <w:br w:type="page"/>
      </w:r>
    </w:p>
    <w:tbl>
      <w:tblPr>
        <w:tblStyle w:val="27"/>
        <w:tblW w:w="86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80"/>
        <w:gridCol w:w="1701"/>
        <w:gridCol w:w="1276"/>
        <w:gridCol w:w="1842"/>
        <w:gridCol w:w="1843"/>
      </w:tblGrid>
      <w:tr w14:paraId="15613D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083932DF">
            <w:pPr>
              <w:widowControl/>
              <w:spacing w:line="360" w:lineRule="auto"/>
              <w:jc w:val="center"/>
              <w:rPr>
                <w:rFonts w:eastAsia="楷体_GB2312"/>
                <w:b/>
                <w:sz w:val="28"/>
              </w:rPr>
            </w:pPr>
            <w:r>
              <w:rPr>
                <w:rFonts w:eastAsia="楷体_GB2312"/>
                <w:b/>
                <w:sz w:val="28"/>
              </w:rPr>
              <w:t>【信托名称】受托机构报告</w:t>
            </w:r>
          </w:p>
        </w:tc>
      </w:tr>
      <w:tr w14:paraId="0BB421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4E916751">
            <w:pPr>
              <w:widowControl/>
              <w:spacing w:line="360" w:lineRule="auto"/>
              <w:jc w:val="left"/>
              <w:rPr>
                <w:rFonts w:eastAsia="楷体_GB2312"/>
                <w:b/>
                <w:szCs w:val="21"/>
              </w:rPr>
            </w:pPr>
            <w:r>
              <w:rPr>
                <w:rFonts w:eastAsia="楷体_GB2312"/>
                <w:b/>
                <w:szCs w:val="21"/>
              </w:rPr>
              <w:t>五、基础资产存续期分布信息</w:t>
            </w:r>
          </w:p>
          <w:p w14:paraId="3B356D6F">
            <w:pPr>
              <w:widowControl/>
              <w:spacing w:line="360" w:lineRule="auto"/>
              <w:jc w:val="left"/>
              <w:rPr>
                <w:rFonts w:eastAsia="楷体_GB2312"/>
                <w:bCs/>
                <w:sz w:val="24"/>
              </w:rPr>
            </w:pPr>
            <w:r>
              <w:rPr>
                <w:rFonts w:eastAsia="楷体_GB2312"/>
                <w:bCs/>
                <w:szCs w:val="21"/>
              </w:rPr>
              <w:t>（一）</w:t>
            </w:r>
            <w:r>
              <w:rPr>
                <w:rFonts w:eastAsia="楷体_GB2312"/>
                <w:szCs w:val="21"/>
              </w:rPr>
              <w:t>未偿本金余额分布</w:t>
            </w:r>
          </w:p>
        </w:tc>
      </w:tr>
      <w:tr w14:paraId="71B852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Pr>
          <w:p w14:paraId="187428B9">
            <w:pPr>
              <w:widowControl/>
              <w:spacing w:line="360" w:lineRule="auto"/>
              <w:jc w:val="center"/>
              <w:rPr>
                <w:rFonts w:eastAsia="楷体_GB2312"/>
                <w:b/>
              </w:rPr>
            </w:pPr>
            <w:r>
              <w:rPr>
                <w:rFonts w:eastAsia="楷体_GB2312"/>
                <w:b/>
              </w:rPr>
              <w:t>未偿本金余额</w:t>
            </w:r>
          </w:p>
        </w:tc>
        <w:tc>
          <w:tcPr>
            <w:tcW w:w="1701" w:type="dxa"/>
            <w:tcBorders>
              <w:top w:val="single" w:color="auto" w:sz="4" w:space="0"/>
              <w:left w:val="single" w:color="auto" w:sz="4" w:space="0"/>
              <w:bottom w:val="single" w:color="auto" w:sz="4" w:space="0"/>
              <w:right w:val="single" w:color="auto" w:sz="4" w:space="0"/>
            </w:tcBorders>
            <w:vAlign w:val="center"/>
          </w:tcPr>
          <w:p w14:paraId="3B4B02EB">
            <w:pPr>
              <w:widowControl/>
              <w:spacing w:line="360" w:lineRule="auto"/>
              <w:jc w:val="center"/>
              <w:rPr>
                <w:rFonts w:eastAsia="楷体_GB2312"/>
                <w:b/>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47BBD6AD">
            <w:pPr>
              <w:widowControl/>
              <w:spacing w:line="360" w:lineRule="auto"/>
              <w:jc w:val="left"/>
              <w:rPr>
                <w:rFonts w:eastAsia="楷体_GB2312"/>
                <w:b/>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0C277481">
            <w:pPr>
              <w:widowControl/>
              <w:spacing w:line="360" w:lineRule="auto"/>
              <w:jc w:val="left"/>
              <w:rPr>
                <w:rFonts w:eastAsia="楷体_GB2312"/>
                <w:b/>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right w:val="single" w:color="auto" w:sz="4" w:space="0"/>
            </w:tcBorders>
            <w:vAlign w:val="center"/>
          </w:tcPr>
          <w:p w14:paraId="60AD418B">
            <w:pPr>
              <w:widowControl/>
              <w:spacing w:line="360" w:lineRule="auto"/>
              <w:jc w:val="left"/>
              <w:rPr>
                <w:rFonts w:eastAsia="楷体_GB2312"/>
                <w:b/>
              </w:rPr>
            </w:pPr>
            <w:r>
              <w:rPr>
                <w:rFonts w:eastAsia="楷体_GB2312"/>
                <w:b/>
                <w:bCs/>
                <w:szCs w:val="21"/>
                <w:lang w:eastAsia="zh-TW"/>
              </w:rPr>
              <w:t>入池金额占比</w:t>
            </w:r>
          </w:p>
        </w:tc>
      </w:tr>
      <w:tr w14:paraId="4DAAB2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Pr>
          <w:p w14:paraId="4748A73D">
            <w:pPr>
              <w:widowControl/>
              <w:spacing w:line="360" w:lineRule="auto"/>
              <w:jc w:val="center"/>
              <w:rPr>
                <w:rFonts w:eastAsia="楷体_GB2312"/>
                <w:szCs w:val="21"/>
                <w:lang w:eastAsia="zh-TW"/>
              </w:rPr>
            </w:pPr>
            <w:r>
              <w:rPr>
                <w:rFonts w:eastAsia="楷体_GB2312"/>
                <w:szCs w:val="21"/>
                <w:lang w:eastAsia="zh-TW"/>
              </w:rPr>
              <w:t>【</w:t>
            </w:r>
            <w:r>
              <w:rPr>
                <w:rFonts w:eastAsia="楷体_GB2312"/>
                <w:szCs w:val="21"/>
              </w:rPr>
              <w:t xml:space="preserve">  ，  </w:t>
            </w: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4944BAAF">
            <w:pPr>
              <w:widowControl/>
              <w:spacing w:line="360" w:lineRule="auto"/>
              <w:jc w:val="left"/>
              <w:rPr>
                <w:rFonts w:eastAsia="楷体_GB2312"/>
                <w:sz w:val="18"/>
                <w:szCs w:val="18"/>
                <w:lang w:eastAsia="zh-TW"/>
              </w:rPr>
            </w:pPr>
          </w:p>
        </w:tc>
        <w:tc>
          <w:tcPr>
            <w:tcW w:w="1276" w:type="dxa"/>
            <w:tcBorders>
              <w:top w:val="single" w:color="auto" w:sz="4" w:space="0"/>
              <w:left w:val="single" w:color="auto" w:sz="4" w:space="0"/>
              <w:bottom w:val="single" w:color="auto" w:sz="4" w:space="0"/>
              <w:right w:val="single" w:color="auto" w:sz="4" w:space="0"/>
            </w:tcBorders>
          </w:tcPr>
          <w:p w14:paraId="6CBA9826">
            <w:pPr>
              <w:widowControl/>
              <w:spacing w:line="360" w:lineRule="auto"/>
              <w:jc w:val="left"/>
              <w:rPr>
                <w:rFonts w:eastAsia="楷体_GB2312"/>
                <w:sz w:val="18"/>
                <w:szCs w:val="18"/>
                <w:lang w:eastAsia="zh-TW"/>
              </w:rPr>
            </w:pPr>
          </w:p>
        </w:tc>
        <w:tc>
          <w:tcPr>
            <w:tcW w:w="1842" w:type="dxa"/>
            <w:tcBorders>
              <w:top w:val="single" w:color="auto" w:sz="4" w:space="0"/>
              <w:left w:val="single" w:color="auto" w:sz="4" w:space="0"/>
              <w:bottom w:val="single" w:color="auto" w:sz="4" w:space="0"/>
              <w:right w:val="single" w:color="auto" w:sz="4" w:space="0"/>
            </w:tcBorders>
          </w:tcPr>
          <w:p w14:paraId="4D6BDC12">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3DE67887">
            <w:pPr>
              <w:widowControl/>
              <w:spacing w:line="360" w:lineRule="auto"/>
              <w:jc w:val="left"/>
              <w:rPr>
                <w:rFonts w:eastAsia="楷体_GB2312"/>
                <w:sz w:val="18"/>
                <w:szCs w:val="18"/>
                <w:lang w:eastAsia="zh-TW"/>
              </w:rPr>
            </w:pPr>
          </w:p>
        </w:tc>
      </w:tr>
      <w:tr w14:paraId="5C9D56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Pr>
          <w:p w14:paraId="289481D1">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6444FDE6">
            <w:pPr>
              <w:widowControl/>
              <w:spacing w:line="360" w:lineRule="auto"/>
              <w:jc w:val="left"/>
              <w:rPr>
                <w:rFonts w:eastAsia="楷体_GB2312"/>
                <w:sz w:val="18"/>
                <w:szCs w:val="18"/>
                <w:lang w:eastAsia="zh-TW"/>
              </w:rPr>
            </w:pPr>
          </w:p>
        </w:tc>
        <w:tc>
          <w:tcPr>
            <w:tcW w:w="1276" w:type="dxa"/>
            <w:tcBorders>
              <w:top w:val="single" w:color="auto" w:sz="4" w:space="0"/>
              <w:left w:val="single" w:color="auto" w:sz="4" w:space="0"/>
              <w:bottom w:val="single" w:color="auto" w:sz="4" w:space="0"/>
              <w:right w:val="single" w:color="auto" w:sz="4" w:space="0"/>
            </w:tcBorders>
          </w:tcPr>
          <w:p w14:paraId="45CD4BA1">
            <w:pPr>
              <w:widowControl/>
              <w:spacing w:line="360" w:lineRule="auto"/>
              <w:jc w:val="left"/>
              <w:rPr>
                <w:rFonts w:eastAsia="楷体_GB2312"/>
                <w:sz w:val="18"/>
                <w:szCs w:val="18"/>
                <w:lang w:eastAsia="zh-TW"/>
              </w:rPr>
            </w:pPr>
          </w:p>
        </w:tc>
        <w:tc>
          <w:tcPr>
            <w:tcW w:w="1842" w:type="dxa"/>
            <w:tcBorders>
              <w:top w:val="single" w:color="auto" w:sz="4" w:space="0"/>
              <w:left w:val="single" w:color="auto" w:sz="4" w:space="0"/>
              <w:bottom w:val="single" w:color="auto" w:sz="4" w:space="0"/>
              <w:right w:val="single" w:color="auto" w:sz="4" w:space="0"/>
            </w:tcBorders>
          </w:tcPr>
          <w:p w14:paraId="6FDB289E">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45B21A07">
            <w:pPr>
              <w:widowControl/>
              <w:spacing w:line="360" w:lineRule="auto"/>
              <w:jc w:val="left"/>
              <w:rPr>
                <w:rFonts w:eastAsia="楷体_GB2312"/>
                <w:sz w:val="18"/>
                <w:szCs w:val="18"/>
                <w:lang w:eastAsia="zh-TW"/>
              </w:rPr>
            </w:pPr>
          </w:p>
        </w:tc>
      </w:tr>
      <w:tr w14:paraId="1F17BD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Pr>
          <w:p w14:paraId="1B03FCE6">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0309B6E2">
            <w:pPr>
              <w:widowControl/>
              <w:spacing w:line="360" w:lineRule="auto"/>
              <w:jc w:val="left"/>
              <w:rPr>
                <w:rFonts w:eastAsia="楷体_GB2312"/>
                <w:sz w:val="18"/>
                <w:szCs w:val="18"/>
                <w:lang w:eastAsia="zh-TW"/>
              </w:rPr>
            </w:pPr>
          </w:p>
        </w:tc>
        <w:tc>
          <w:tcPr>
            <w:tcW w:w="1276" w:type="dxa"/>
            <w:tcBorders>
              <w:top w:val="single" w:color="auto" w:sz="4" w:space="0"/>
              <w:left w:val="single" w:color="auto" w:sz="4" w:space="0"/>
              <w:bottom w:val="single" w:color="auto" w:sz="4" w:space="0"/>
              <w:right w:val="single" w:color="auto" w:sz="4" w:space="0"/>
            </w:tcBorders>
          </w:tcPr>
          <w:p w14:paraId="26B9BFD7">
            <w:pPr>
              <w:widowControl/>
              <w:spacing w:line="360" w:lineRule="auto"/>
              <w:jc w:val="left"/>
              <w:rPr>
                <w:rFonts w:eastAsia="楷体_GB2312"/>
                <w:sz w:val="18"/>
                <w:szCs w:val="18"/>
                <w:lang w:eastAsia="zh-TW"/>
              </w:rPr>
            </w:pPr>
          </w:p>
        </w:tc>
        <w:tc>
          <w:tcPr>
            <w:tcW w:w="1842" w:type="dxa"/>
            <w:tcBorders>
              <w:top w:val="single" w:color="auto" w:sz="4" w:space="0"/>
              <w:left w:val="single" w:color="auto" w:sz="4" w:space="0"/>
              <w:bottom w:val="single" w:color="auto" w:sz="4" w:space="0"/>
              <w:right w:val="single" w:color="auto" w:sz="4" w:space="0"/>
            </w:tcBorders>
          </w:tcPr>
          <w:p w14:paraId="3F015660">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315B855B">
            <w:pPr>
              <w:widowControl/>
              <w:spacing w:line="360" w:lineRule="auto"/>
              <w:jc w:val="left"/>
              <w:rPr>
                <w:rFonts w:eastAsia="楷体_GB2312"/>
                <w:sz w:val="18"/>
                <w:szCs w:val="18"/>
                <w:lang w:eastAsia="zh-TW"/>
              </w:rPr>
            </w:pPr>
          </w:p>
        </w:tc>
      </w:tr>
      <w:tr w14:paraId="51FF15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6CD8BE07">
            <w:pPr>
              <w:widowControl/>
              <w:spacing w:line="360" w:lineRule="auto"/>
              <w:jc w:val="left"/>
              <w:rPr>
                <w:rFonts w:eastAsia="楷体_GB2312"/>
                <w:sz w:val="18"/>
                <w:szCs w:val="18"/>
              </w:rPr>
            </w:pPr>
            <w:r>
              <w:rPr>
                <w:rFonts w:eastAsia="楷体_GB2312"/>
                <w:szCs w:val="21"/>
              </w:rPr>
              <w:t>（二）贷款五级分类分布</w:t>
            </w:r>
          </w:p>
        </w:tc>
      </w:tr>
      <w:tr w14:paraId="1B7AD9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41FA95A6">
            <w:pPr>
              <w:widowControl/>
              <w:spacing w:line="360" w:lineRule="auto"/>
              <w:jc w:val="center"/>
              <w:rPr>
                <w:rFonts w:eastAsia="楷体_GB2312"/>
                <w:b/>
              </w:rPr>
            </w:pPr>
            <w:r>
              <w:rPr>
                <w:rFonts w:eastAsia="楷体_GB2312"/>
                <w:b/>
              </w:rPr>
              <w:t>五级分类</w:t>
            </w:r>
          </w:p>
        </w:tc>
        <w:tc>
          <w:tcPr>
            <w:tcW w:w="1701" w:type="dxa"/>
            <w:tcBorders>
              <w:top w:val="single" w:color="auto" w:sz="4" w:space="0"/>
              <w:left w:val="single" w:color="auto" w:sz="4" w:space="0"/>
              <w:bottom w:val="single" w:color="auto" w:sz="4" w:space="0"/>
              <w:right w:val="single" w:color="auto" w:sz="4" w:space="0"/>
            </w:tcBorders>
            <w:vAlign w:val="center"/>
          </w:tcPr>
          <w:p w14:paraId="454BD0E1">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08991DD6">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751A42E7">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right w:val="single" w:color="auto" w:sz="4" w:space="0"/>
            </w:tcBorders>
            <w:vAlign w:val="center"/>
          </w:tcPr>
          <w:p w14:paraId="0B857F8C">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5B566A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52F413F2">
            <w:pPr>
              <w:widowControl/>
              <w:spacing w:line="360" w:lineRule="auto"/>
              <w:jc w:val="center"/>
              <w:rPr>
                <w:rFonts w:eastAsia="楷体_GB2312"/>
                <w:szCs w:val="21"/>
                <w:lang w:eastAsia="zh-TW"/>
              </w:rPr>
            </w:pPr>
            <w:r>
              <w:rPr>
                <w:rFonts w:eastAsia="楷体_GB2312"/>
                <w:szCs w:val="21"/>
                <w:lang w:eastAsia="zh-TW"/>
              </w:rPr>
              <w:t>正常类</w:t>
            </w:r>
          </w:p>
        </w:tc>
        <w:tc>
          <w:tcPr>
            <w:tcW w:w="1701" w:type="dxa"/>
            <w:tcBorders>
              <w:top w:val="single" w:color="auto" w:sz="4" w:space="0"/>
              <w:left w:val="single" w:color="auto" w:sz="4" w:space="0"/>
              <w:bottom w:val="single" w:color="auto" w:sz="4" w:space="0"/>
              <w:right w:val="single" w:color="auto" w:sz="4" w:space="0"/>
            </w:tcBorders>
          </w:tcPr>
          <w:p w14:paraId="78AE1396">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4932582E">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2B6DABC3">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29632385">
            <w:pPr>
              <w:widowControl/>
              <w:spacing w:line="360" w:lineRule="auto"/>
              <w:jc w:val="center"/>
              <w:rPr>
                <w:rFonts w:eastAsia="楷体_GB2312"/>
                <w:szCs w:val="21"/>
                <w:lang w:eastAsia="zh-TW"/>
              </w:rPr>
            </w:pPr>
          </w:p>
        </w:tc>
      </w:tr>
      <w:tr w14:paraId="25D548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1D39D728">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4EFFEDAD">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4B4DDF03">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057155C7">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67F4650B">
            <w:pPr>
              <w:widowControl/>
              <w:spacing w:line="360" w:lineRule="auto"/>
              <w:jc w:val="center"/>
              <w:rPr>
                <w:rFonts w:eastAsia="楷体_GB2312"/>
                <w:szCs w:val="21"/>
                <w:lang w:eastAsia="zh-TW"/>
              </w:rPr>
            </w:pPr>
          </w:p>
        </w:tc>
      </w:tr>
      <w:tr w14:paraId="2A8523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02402B12">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72C0F0C8">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6EE21F0B">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73CDD99C">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3B22362D">
            <w:pPr>
              <w:widowControl/>
              <w:spacing w:line="360" w:lineRule="auto"/>
              <w:jc w:val="center"/>
              <w:rPr>
                <w:rFonts w:eastAsia="楷体_GB2312"/>
                <w:szCs w:val="21"/>
                <w:lang w:eastAsia="zh-TW"/>
              </w:rPr>
            </w:pPr>
          </w:p>
        </w:tc>
      </w:tr>
      <w:tr w14:paraId="1B06F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50B3C12E">
            <w:pPr>
              <w:widowControl/>
              <w:spacing w:line="360" w:lineRule="auto"/>
              <w:jc w:val="left"/>
              <w:rPr>
                <w:rFonts w:eastAsia="楷体_GB2312"/>
                <w:sz w:val="18"/>
                <w:szCs w:val="18"/>
              </w:rPr>
            </w:pPr>
            <w:r>
              <w:rPr>
                <w:rFonts w:eastAsia="楷体_GB2312"/>
                <w:bCs/>
                <w:szCs w:val="21"/>
              </w:rPr>
              <w:t>（三）贷款利率类型分布</w:t>
            </w:r>
          </w:p>
        </w:tc>
      </w:tr>
      <w:tr w14:paraId="218DCA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74BF1840">
            <w:pPr>
              <w:widowControl/>
              <w:spacing w:line="360" w:lineRule="auto"/>
              <w:jc w:val="center"/>
              <w:rPr>
                <w:rFonts w:eastAsia="楷体_GB2312"/>
                <w:b/>
              </w:rPr>
            </w:pPr>
            <w:r>
              <w:rPr>
                <w:rFonts w:eastAsia="楷体_GB2312"/>
                <w:b/>
              </w:rPr>
              <w:t>利率类型</w:t>
            </w:r>
          </w:p>
        </w:tc>
        <w:tc>
          <w:tcPr>
            <w:tcW w:w="1701" w:type="dxa"/>
            <w:tcBorders>
              <w:top w:val="single" w:color="auto" w:sz="4" w:space="0"/>
              <w:left w:val="single" w:color="auto" w:sz="4" w:space="0"/>
              <w:bottom w:val="single" w:color="auto" w:sz="4" w:space="0"/>
              <w:right w:val="single" w:color="auto" w:sz="4" w:space="0"/>
            </w:tcBorders>
            <w:vAlign w:val="center"/>
          </w:tcPr>
          <w:p w14:paraId="6212385F">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70098EB8">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39B50C80">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right w:val="single" w:color="auto" w:sz="4" w:space="0"/>
            </w:tcBorders>
            <w:vAlign w:val="center"/>
          </w:tcPr>
          <w:p w14:paraId="71AD5474">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317193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57A5DF83">
            <w:pPr>
              <w:widowControl/>
              <w:spacing w:line="360" w:lineRule="auto"/>
              <w:jc w:val="center"/>
              <w:rPr>
                <w:rFonts w:eastAsia="楷体_GB2312"/>
                <w:szCs w:val="21"/>
                <w:lang w:eastAsia="zh-TW"/>
              </w:rPr>
            </w:pPr>
            <w:r>
              <w:rPr>
                <w:rFonts w:eastAsia="楷体_GB2312"/>
                <w:szCs w:val="21"/>
                <w:lang w:eastAsia="zh-TW"/>
              </w:rPr>
              <w:t>固定利率</w:t>
            </w:r>
          </w:p>
        </w:tc>
        <w:tc>
          <w:tcPr>
            <w:tcW w:w="1701" w:type="dxa"/>
            <w:tcBorders>
              <w:top w:val="single" w:color="auto" w:sz="4" w:space="0"/>
              <w:left w:val="single" w:color="auto" w:sz="4" w:space="0"/>
              <w:bottom w:val="single" w:color="auto" w:sz="4" w:space="0"/>
              <w:right w:val="single" w:color="auto" w:sz="4" w:space="0"/>
            </w:tcBorders>
          </w:tcPr>
          <w:p w14:paraId="117C7E0F">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6FFCB447">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4C9CF5CA">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3C8E12BC">
            <w:pPr>
              <w:widowControl/>
              <w:spacing w:line="360" w:lineRule="auto"/>
              <w:jc w:val="center"/>
              <w:rPr>
                <w:rFonts w:eastAsia="楷体_GB2312"/>
                <w:szCs w:val="21"/>
                <w:lang w:eastAsia="zh-TW"/>
              </w:rPr>
            </w:pPr>
          </w:p>
        </w:tc>
      </w:tr>
      <w:tr w14:paraId="124B3C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6D3A7A4E">
            <w:pPr>
              <w:widowControl/>
              <w:spacing w:line="360" w:lineRule="auto"/>
              <w:jc w:val="center"/>
              <w:rPr>
                <w:rFonts w:eastAsia="楷体_GB2312"/>
                <w:szCs w:val="21"/>
                <w:lang w:eastAsia="zh-TW"/>
              </w:rPr>
            </w:pPr>
            <w:r>
              <w:rPr>
                <w:rFonts w:eastAsia="楷体_GB2312"/>
                <w:szCs w:val="21"/>
                <w:lang w:eastAsia="zh-TW"/>
              </w:rPr>
              <w:t>浮动利率</w:t>
            </w:r>
          </w:p>
        </w:tc>
        <w:tc>
          <w:tcPr>
            <w:tcW w:w="1701" w:type="dxa"/>
            <w:tcBorders>
              <w:top w:val="single" w:color="auto" w:sz="4" w:space="0"/>
              <w:left w:val="single" w:color="auto" w:sz="4" w:space="0"/>
              <w:bottom w:val="single" w:color="auto" w:sz="4" w:space="0"/>
              <w:right w:val="single" w:color="auto" w:sz="4" w:space="0"/>
            </w:tcBorders>
          </w:tcPr>
          <w:p w14:paraId="77730036">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11DC1DD1">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44709AB1">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2EEB41E2">
            <w:pPr>
              <w:widowControl/>
              <w:spacing w:line="360" w:lineRule="auto"/>
              <w:jc w:val="center"/>
              <w:rPr>
                <w:rFonts w:eastAsia="楷体_GB2312"/>
                <w:szCs w:val="21"/>
                <w:lang w:eastAsia="zh-TW"/>
              </w:rPr>
            </w:pPr>
          </w:p>
        </w:tc>
      </w:tr>
      <w:tr w14:paraId="0A99C2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6B68DCDD">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30EDFA4E">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34A84B18">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3755998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69EED622">
            <w:pPr>
              <w:widowControl/>
              <w:spacing w:line="360" w:lineRule="auto"/>
              <w:jc w:val="center"/>
              <w:rPr>
                <w:rFonts w:eastAsia="楷体_GB2312"/>
                <w:szCs w:val="21"/>
                <w:lang w:eastAsia="zh-TW"/>
              </w:rPr>
            </w:pPr>
          </w:p>
        </w:tc>
      </w:tr>
      <w:tr w14:paraId="596CBF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47BDDA4E">
            <w:pPr>
              <w:widowControl/>
              <w:spacing w:line="360" w:lineRule="auto"/>
              <w:jc w:val="left"/>
              <w:rPr>
                <w:rFonts w:eastAsia="楷体_GB2312"/>
                <w:sz w:val="18"/>
                <w:szCs w:val="18"/>
                <w:lang w:eastAsia="zh-TW"/>
              </w:rPr>
            </w:pPr>
            <w:r>
              <w:rPr>
                <w:rFonts w:eastAsia="楷体_GB2312"/>
                <w:bCs/>
                <w:szCs w:val="21"/>
                <w:lang w:eastAsia="zh-TW"/>
              </w:rPr>
              <w:t>（</w:t>
            </w:r>
            <w:r>
              <w:rPr>
                <w:rFonts w:eastAsia="楷体_GB2312"/>
                <w:bCs/>
                <w:szCs w:val="21"/>
              </w:rPr>
              <w:t>四</w:t>
            </w:r>
            <w:r>
              <w:rPr>
                <w:rFonts w:eastAsia="楷体_GB2312"/>
                <w:bCs/>
                <w:szCs w:val="21"/>
                <w:lang w:eastAsia="zh-TW"/>
              </w:rPr>
              <w:t>）贷款利率分布</w:t>
            </w:r>
          </w:p>
        </w:tc>
      </w:tr>
      <w:tr w14:paraId="64D940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3C0E756D">
            <w:pPr>
              <w:widowControl/>
              <w:spacing w:line="360" w:lineRule="auto"/>
              <w:jc w:val="center"/>
              <w:rPr>
                <w:rFonts w:eastAsia="楷体_GB2312"/>
                <w:b/>
              </w:rPr>
            </w:pPr>
            <w:r>
              <w:rPr>
                <w:rFonts w:eastAsia="楷体_GB2312"/>
                <w:b/>
                <w:bCs/>
                <w:szCs w:val="21"/>
                <w:lang w:eastAsia="zh-TW"/>
              </w:rPr>
              <w:t>利率</w:t>
            </w:r>
          </w:p>
        </w:tc>
        <w:tc>
          <w:tcPr>
            <w:tcW w:w="1701" w:type="dxa"/>
            <w:tcBorders>
              <w:top w:val="single" w:color="auto" w:sz="4" w:space="0"/>
              <w:left w:val="single" w:color="auto" w:sz="4" w:space="0"/>
              <w:bottom w:val="single" w:color="auto" w:sz="4" w:space="0"/>
              <w:right w:val="single" w:color="auto" w:sz="4" w:space="0"/>
            </w:tcBorders>
            <w:vAlign w:val="center"/>
          </w:tcPr>
          <w:p w14:paraId="11BB9DA2">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659B0AD1">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07FAF242">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right w:val="single" w:color="auto" w:sz="4" w:space="0"/>
            </w:tcBorders>
            <w:vAlign w:val="center"/>
          </w:tcPr>
          <w:p w14:paraId="412C8AE5">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34D954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7D8CF32C">
            <w:pPr>
              <w:widowControl/>
              <w:spacing w:line="360" w:lineRule="auto"/>
              <w:jc w:val="center"/>
              <w:rPr>
                <w:rFonts w:eastAsia="楷体_GB2312"/>
                <w:szCs w:val="21"/>
                <w:lang w:eastAsia="zh-TW"/>
              </w:rPr>
            </w:pPr>
            <w:r>
              <w:rPr>
                <w:rFonts w:eastAsia="楷体_GB2312"/>
                <w:szCs w:val="21"/>
                <w:lang w:eastAsia="zh-TW"/>
              </w:rPr>
              <w:t>【  ,  】</w:t>
            </w:r>
          </w:p>
        </w:tc>
        <w:tc>
          <w:tcPr>
            <w:tcW w:w="1701" w:type="dxa"/>
            <w:tcBorders>
              <w:top w:val="single" w:color="auto" w:sz="4" w:space="0"/>
              <w:left w:val="single" w:color="auto" w:sz="4" w:space="0"/>
              <w:bottom w:val="single" w:color="auto" w:sz="4" w:space="0"/>
              <w:right w:val="single" w:color="auto" w:sz="4" w:space="0"/>
            </w:tcBorders>
          </w:tcPr>
          <w:p w14:paraId="2359DC6B">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4969AB0B">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75D3AB58">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546153D1">
            <w:pPr>
              <w:widowControl/>
              <w:spacing w:line="360" w:lineRule="auto"/>
              <w:jc w:val="center"/>
              <w:rPr>
                <w:rFonts w:eastAsia="楷体_GB2312"/>
                <w:szCs w:val="21"/>
                <w:lang w:eastAsia="zh-TW"/>
              </w:rPr>
            </w:pPr>
          </w:p>
        </w:tc>
      </w:tr>
      <w:tr w14:paraId="183AE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1093B784">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0DF3FDED">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64611EB3">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7CE39C4E">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42F05006">
            <w:pPr>
              <w:widowControl/>
              <w:spacing w:line="360" w:lineRule="auto"/>
              <w:jc w:val="center"/>
              <w:rPr>
                <w:rFonts w:eastAsia="楷体_GB2312"/>
                <w:szCs w:val="21"/>
                <w:lang w:eastAsia="zh-TW"/>
              </w:rPr>
            </w:pPr>
          </w:p>
        </w:tc>
      </w:tr>
      <w:tr w14:paraId="6BFF6C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25E6037D">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04208870">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6F1EE2BD">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0EED5364">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41A4D801">
            <w:pPr>
              <w:widowControl/>
              <w:spacing w:line="360" w:lineRule="auto"/>
              <w:jc w:val="center"/>
              <w:rPr>
                <w:rFonts w:eastAsia="楷体_GB2312"/>
                <w:szCs w:val="21"/>
                <w:lang w:eastAsia="zh-TW"/>
              </w:rPr>
            </w:pPr>
          </w:p>
        </w:tc>
      </w:tr>
      <w:tr w14:paraId="4EC560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tcPr>
          <w:p w14:paraId="40EFE8DE">
            <w:pPr>
              <w:widowControl/>
              <w:spacing w:line="360" w:lineRule="auto"/>
              <w:jc w:val="left"/>
              <w:rPr>
                <w:rFonts w:eastAsia="楷体_GB2312"/>
                <w:sz w:val="18"/>
                <w:szCs w:val="18"/>
                <w:lang w:eastAsia="zh-TW"/>
              </w:rPr>
            </w:pPr>
            <w:r>
              <w:rPr>
                <w:rFonts w:eastAsia="楷体_GB2312"/>
                <w:bCs/>
                <w:szCs w:val="21"/>
                <w:lang w:eastAsia="zh-TW"/>
              </w:rPr>
              <w:t>（</w:t>
            </w:r>
            <w:r>
              <w:rPr>
                <w:rFonts w:eastAsia="楷体_GB2312"/>
                <w:bCs/>
                <w:szCs w:val="21"/>
              </w:rPr>
              <w:t>五</w:t>
            </w:r>
            <w:r>
              <w:rPr>
                <w:rFonts w:eastAsia="楷体_GB2312"/>
                <w:bCs/>
                <w:szCs w:val="21"/>
                <w:lang w:eastAsia="zh-TW"/>
              </w:rPr>
              <w:t>）担保情况分布</w:t>
            </w:r>
          </w:p>
        </w:tc>
      </w:tr>
      <w:tr w14:paraId="63E0C2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524E4A8">
            <w:pPr>
              <w:widowControl/>
              <w:spacing w:line="360" w:lineRule="auto"/>
              <w:jc w:val="center"/>
              <w:rPr>
                <w:rFonts w:eastAsia="楷体_GB2312"/>
                <w:b/>
              </w:rPr>
            </w:pPr>
            <w:r>
              <w:rPr>
                <w:rFonts w:eastAsia="楷体_GB2312"/>
                <w:b/>
              </w:rPr>
              <w:t>担保情况</w:t>
            </w:r>
          </w:p>
        </w:tc>
        <w:tc>
          <w:tcPr>
            <w:tcW w:w="1701" w:type="dxa"/>
            <w:tcBorders>
              <w:top w:val="single" w:color="auto" w:sz="4" w:space="0"/>
              <w:left w:val="single" w:color="auto" w:sz="4" w:space="0"/>
              <w:bottom w:val="single" w:color="auto" w:sz="4" w:space="0"/>
              <w:right w:val="single" w:color="auto" w:sz="4" w:space="0"/>
            </w:tcBorders>
            <w:vAlign w:val="center"/>
          </w:tcPr>
          <w:p w14:paraId="7364B21B">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7911B509">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375B0498">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39CC0B78">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78D712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tcPr>
          <w:p w14:paraId="409936A6">
            <w:pPr>
              <w:widowControl/>
              <w:spacing w:line="360" w:lineRule="auto"/>
              <w:jc w:val="center"/>
              <w:rPr>
                <w:rFonts w:eastAsia="楷体_GB2312"/>
                <w:szCs w:val="21"/>
                <w:lang w:eastAsia="zh-TW"/>
              </w:rPr>
            </w:pPr>
            <w:r>
              <w:rPr>
                <w:rFonts w:eastAsia="楷体_GB2312"/>
                <w:szCs w:val="21"/>
                <w:lang w:eastAsia="zh-TW"/>
              </w:rPr>
              <w:t>信用贷款</w:t>
            </w:r>
          </w:p>
        </w:tc>
        <w:tc>
          <w:tcPr>
            <w:tcW w:w="1701" w:type="dxa"/>
            <w:tcBorders>
              <w:top w:val="single" w:color="auto" w:sz="4" w:space="0"/>
              <w:left w:val="single" w:color="auto" w:sz="4" w:space="0"/>
              <w:bottom w:val="single" w:color="auto" w:sz="4" w:space="0"/>
              <w:right w:val="single" w:color="auto" w:sz="4" w:space="0"/>
            </w:tcBorders>
          </w:tcPr>
          <w:p w14:paraId="50D242F0">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2D5ED9B7">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2AD303DE">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tcPr>
          <w:p w14:paraId="7C4832F0">
            <w:pPr>
              <w:widowControl/>
              <w:spacing w:line="360" w:lineRule="auto"/>
              <w:jc w:val="center"/>
              <w:rPr>
                <w:rFonts w:eastAsia="楷体_GB2312"/>
                <w:szCs w:val="21"/>
                <w:lang w:eastAsia="zh-TW"/>
              </w:rPr>
            </w:pPr>
          </w:p>
        </w:tc>
      </w:tr>
      <w:tr w14:paraId="29B653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tcPr>
          <w:p w14:paraId="6DECC4BC">
            <w:pPr>
              <w:widowControl/>
              <w:spacing w:line="360" w:lineRule="auto"/>
              <w:jc w:val="center"/>
              <w:rPr>
                <w:rFonts w:eastAsia="楷体_GB2312"/>
                <w:szCs w:val="21"/>
                <w:lang w:eastAsia="zh-TW"/>
              </w:rPr>
            </w:pPr>
            <w:r>
              <w:rPr>
                <w:rFonts w:eastAsia="楷体_GB2312"/>
                <w:szCs w:val="21"/>
                <w:lang w:eastAsia="zh-TW"/>
              </w:rPr>
              <w:t>抵押</w:t>
            </w:r>
            <w:r>
              <w:rPr>
                <w:rFonts w:eastAsia="楷体_GB2312"/>
                <w:szCs w:val="21"/>
              </w:rPr>
              <w:t>/质押/保证</w:t>
            </w:r>
            <w:r>
              <w:rPr>
                <w:rFonts w:eastAsia="楷体_GB2312"/>
                <w:szCs w:val="21"/>
                <w:lang w:eastAsia="zh-TW"/>
              </w:rPr>
              <w:t>贷款</w:t>
            </w:r>
          </w:p>
        </w:tc>
        <w:tc>
          <w:tcPr>
            <w:tcW w:w="1701" w:type="dxa"/>
            <w:tcBorders>
              <w:top w:val="single" w:color="auto" w:sz="4" w:space="0"/>
              <w:left w:val="single" w:color="auto" w:sz="4" w:space="0"/>
              <w:bottom w:val="single" w:color="auto" w:sz="4" w:space="0"/>
              <w:right w:val="single" w:color="auto" w:sz="4" w:space="0"/>
            </w:tcBorders>
          </w:tcPr>
          <w:p w14:paraId="2F444839">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69938A25">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5C27ACAB">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tcPr>
          <w:p w14:paraId="7918064B">
            <w:pPr>
              <w:widowControl/>
              <w:spacing w:line="360" w:lineRule="auto"/>
              <w:jc w:val="center"/>
              <w:rPr>
                <w:rFonts w:eastAsia="楷体_GB2312"/>
                <w:szCs w:val="21"/>
                <w:lang w:eastAsia="zh-TW"/>
              </w:rPr>
            </w:pPr>
          </w:p>
        </w:tc>
      </w:tr>
      <w:tr w14:paraId="686DEF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tcPr>
          <w:p w14:paraId="52BB7530">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7C8B859B">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0F917CFA">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5B744B6D">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tcPr>
          <w:p w14:paraId="177E6ED0">
            <w:pPr>
              <w:widowControl/>
              <w:spacing w:line="360" w:lineRule="auto"/>
              <w:jc w:val="center"/>
              <w:rPr>
                <w:rFonts w:eastAsia="楷体_GB2312"/>
                <w:szCs w:val="21"/>
                <w:lang w:eastAsia="zh-TW"/>
              </w:rPr>
            </w:pPr>
          </w:p>
        </w:tc>
      </w:tr>
      <w:tr w14:paraId="68BA7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tcPr>
          <w:p w14:paraId="5C920443">
            <w:pPr>
              <w:widowControl/>
              <w:spacing w:line="360" w:lineRule="auto"/>
              <w:jc w:val="left"/>
              <w:rPr>
                <w:rFonts w:eastAsia="楷体_GB2312"/>
                <w:szCs w:val="21"/>
                <w:lang w:eastAsia="zh-TW"/>
              </w:rPr>
            </w:pPr>
            <w:r>
              <w:rPr>
                <w:rFonts w:eastAsia="楷体_GB2312"/>
                <w:szCs w:val="21"/>
                <w:lang w:eastAsia="zh-TW"/>
              </w:rPr>
              <w:t>（</w:t>
            </w:r>
            <w:r>
              <w:rPr>
                <w:rFonts w:eastAsia="楷体_GB2312"/>
                <w:szCs w:val="21"/>
              </w:rPr>
              <w:t>六</w:t>
            </w:r>
            <w:r>
              <w:rPr>
                <w:rFonts w:eastAsia="楷体_GB2312"/>
                <w:szCs w:val="21"/>
                <w:lang w:eastAsia="zh-TW"/>
              </w:rPr>
              <w:t>）借款合同期限分布</w:t>
            </w:r>
          </w:p>
        </w:tc>
      </w:tr>
      <w:tr w14:paraId="6E87BF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541FBCFB">
            <w:pPr>
              <w:widowControl/>
              <w:spacing w:line="360" w:lineRule="auto"/>
              <w:jc w:val="center"/>
              <w:rPr>
                <w:rFonts w:eastAsia="楷体_GB2312"/>
                <w:b/>
              </w:rPr>
            </w:pPr>
            <w:r>
              <w:rPr>
                <w:rFonts w:eastAsia="楷体_GB2312"/>
                <w:b/>
                <w:bCs/>
                <w:szCs w:val="21"/>
                <w:lang w:eastAsia="zh-TW"/>
              </w:rPr>
              <w:t>期限</w:t>
            </w:r>
          </w:p>
        </w:tc>
        <w:tc>
          <w:tcPr>
            <w:tcW w:w="1701" w:type="dxa"/>
            <w:tcBorders>
              <w:top w:val="single" w:color="auto" w:sz="4" w:space="0"/>
              <w:left w:val="single" w:color="auto" w:sz="4" w:space="0"/>
              <w:bottom w:val="single" w:color="auto" w:sz="4" w:space="0"/>
              <w:right w:val="single" w:color="auto" w:sz="4" w:space="0"/>
            </w:tcBorders>
            <w:vAlign w:val="center"/>
          </w:tcPr>
          <w:p w14:paraId="60A1C139">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387E91F5">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6AB22D35">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507D35DA">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011C50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8D3A3CD">
            <w:pPr>
              <w:widowControl/>
              <w:spacing w:line="360" w:lineRule="auto"/>
              <w:jc w:val="center"/>
              <w:rPr>
                <w:rFonts w:eastAsia="楷体_GB2312"/>
                <w:b/>
                <w:bCs/>
                <w:szCs w:val="21"/>
                <w:lang w:eastAsia="zh-TW"/>
              </w:rPr>
            </w:pPr>
            <w:r>
              <w:rPr>
                <w:rFonts w:eastAsia="楷体_GB2312"/>
                <w:szCs w:val="21"/>
                <w:lang w:eastAsia="zh-TW"/>
              </w:rPr>
              <w:t>(0,12]</w:t>
            </w:r>
          </w:p>
        </w:tc>
        <w:tc>
          <w:tcPr>
            <w:tcW w:w="1701" w:type="dxa"/>
            <w:tcBorders>
              <w:top w:val="single" w:color="auto" w:sz="4" w:space="0"/>
              <w:left w:val="single" w:color="auto" w:sz="4" w:space="0"/>
              <w:bottom w:val="single" w:color="auto" w:sz="4" w:space="0"/>
              <w:right w:val="single" w:color="auto" w:sz="4" w:space="0"/>
            </w:tcBorders>
          </w:tcPr>
          <w:p w14:paraId="1A3FF047">
            <w:pPr>
              <w:widowControl/>
              <w:spacing w:line="360" w:lineRule="auto"/>
              <w:jc w:val="center"/>
              <w:rPr>
                <w:rFonts w:eastAsia="楷体_GB2312"/>
                <w:b/>
                <w:bCs/>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21F1907D">
            <w:pPr>
              <w:widowControl/>
              <w:spacing w:line="360" w:lineRule="auto"/>
              <w:jc w:val="center"/>
              <w:rPr>
                <w:rFonts w:eastAsia="楷体_GB2312"/>
                <w:b/>
                <w:bCs/>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4B40C3D5">
            <w:pPr>
              <w:widowControl/>
              <w:spacing w:line="360" w:lineRule="auto"/>
              <w:jc w:val="center"/>
              <w:rPr>
                <w:rFonts w:eastAsia="楷体_GB2312"/>
                <w:b/>
                <w:bCs/>
                <w:szCs w:val="21"/>
                <w:lang w:eastAsia="zh-TW"/>
              </w:rPr>
            </w:pPr>
          </w:p>
        </w:tc>
        <w:tc>
          <w:tcPr>
            <w:tcW w:w="1843" w:type="dxa"/>
            <w:tcBorders>
              <w:top w:val="single" w:color="auto" w:sz="4" w:space="0"/>
              <w:left w:val="single" w:color="auto" w:sz="4" w:space="0"/>
              <w:bottom w:val="single" w:color="auto" w:sz="4" w:space="0"/>
            </w:tcBorders>
          </w:tcPr>
          <w:p w14:paraId="0EA5939B">
            <w:pPr>
              <w:widowControl/>
              <w:spacing w:line="360" w:lineRule="auto"/>
              <w:jc w:val="center"/>
              <w:rPr>
                <w:rFonts w:eastAsia="楷体_GB2312"/>
                <w:b/>
                <w:bCs/>
                <w:szCs w:val="21"/>
                <w:lang w:eastAsia="zh-TW"/>
              </w:rPr>
            </w:pPr>
          </w:p>
        </w:tc>
      </w:tr>
      <w:tr w14:paraId="7D4C8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3657FB6B">
            <w:pPr>
              <w:widowControl/>
              <w:spacing w:line="360" w:lineRule="auto"/>
              <w:jc w:val="center"/>
              <w:rPr>
                <w:rFonts w:eastAsia="楷体_GB2312"/>
                <w:b/>
                <w:bCs/>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68550160">
            <w:pPr>
              <w:widowControl/>
              <w:spacing w:line="360" w:lineRule="auto"/>
              <w:jc w:val="center"/>
              <w:rPr>
                <w:rFonts w:eastAsia="楷体_GB2312"/>
                <w:b/>
                <w:bCs/>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2022AC73">
            <w:pPr>
              <w:widowControl/>
              <w:spacing w:line="360" w:lineRule="auto"/>
              <w:jc w:val="center"/>
              <w:rPr>
                <w:rFonts w:eastAsia="楷体_GB2312"/>
                <w:b/>
                <w:bCs/>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6D3E72D2">
            <w:pPr>
              <w:widowControl/>
              <w:spacing w:line="360" w:lineRule="auto"/>
              <w:jc w:val="center"/>
              <w:rPr>
                <w:rFonts w:eastAsia="楷体_GB2312"/>
                <w:b/>
                <w:bCs/>
                <w:szCs w:val="21"/>
                <w:lang w:eastAsia="zh-TW"/>
              </w:rPr>
            </w:pPr>
          </w:p>
        </w:tc>
        <w:tc>
          <w:tcPr>
            <w:tcW w:w="1843" w:type="dxa"/>
            <w:tcBorders>
              <w:top w:val="single" w:color="auto" w:sz="4" w:space="0"/>
              <w:left w:val="single" w:color="auto" w:sz="4" w:space="0"/>
              <w:bottom w:val="single" w:color="auto" w:sz="4" w:space="0"/>
            </w:tcBorders>
          </w:tcPr>
          <w:p w14:paraId="0FC7C13A">
            <w:pPr>
              <w:widowControl/>
              <w:spacing w:line="360" w:lineRule="auto"/>
              <w:jc w:val="center"/>
              <w:rPr>
                <w:rFonts w:eastAsia="楷体_GB2312"/>
                <w:b/>
                <w:bCs/>
                <w:szCs w:val="21"/>
                <w:lang w:eastAsia="zh-TW"/>
              </w:rPr>
            </w:pPr>
          </w:p>
        </w:tc>
      </w:tr>
      <w:tr w14:paraId="1DAD78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BE1A037">
            <w:pPr>
              <w:widowControl/>
              <w:spacing w:line="360" w:lineRule="auto"/>
              <w:jc w:val="center"/>
              <w:rPr>
                <w:rFonts w:eastAsia="楷体_GB2312"/>
                <w:b/>
                <w:bCs/>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19CC6813">
            <w:pPr>
              <w:widowControl/>
              <w:spacing w:line="360" w:lineRule="auto"/>
              <w:jc w:val="center"/>
              <w:rPr>
                <w:rFonts w:eastAsia="楷体_GB2312"/>
                <w:b/>
                <w:bCs/>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51C171C0">
            <w:pPr>
              <w:widowControl/>
              <w:spacing w:line="360" w:lineRule="auto"/>
              <w:jc w:val="center"/>
              <w:rPr>
                <w:rFonts w:eastAsia="楷体_GB2312"/>
                <w:b/>
                <w:bCs/>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0535AC38">
            <w:pPr>
              <w:widowControl/>
              <w:spacing w:line="360" w:lineRule="auto"/>
              <w:jc w:val="center"/>
              <w:rPr>
                <w:rFonts w:eastAsia="楷体_GB2312"/>
                <w:b/>
                <w:bCs/>
                <w:szCs w:val="21"/>
                <w:lang w:eastAsia="zh-TW"/>
              </w:rPr>
            </w:pPr>
          </w:p>
        </w:tc>
        <w:tc>
          <w:tcPr>
            <w:tcW w:w="1843" w:type="dxa"/>
            <w:tcBorders>
              <w:top w:val="single" w:color="auto" w:sz="4" w:space="0"/>
              <w:left w:val="single" w:color="auto" w:sz="4" w:space="0"/>
              <w:bottom w:val="single" w:color="auto" w:sz="4" w:space="0"/>
            </w:tcBorders>
          </w:tcPr>
          <w:p w14:paraId="771C8F2C">
            <w:pPr>
              <w:widowControl/>
              <w:spacing w:line="360" w:lineRule="auto"/>
              <w:jc w:val="center"/>
              <w:rPr>
                <w:rFonts w:eastAsia="楷体_GB2312"/>
                <w:b/>
                <w:bCs/>
                <w:szCs w:val="21"/>
                <w:lang w:eastAsia="zh-TW"/>
              </w:rPr>
            </w:pPr>
          </w:p>
        </w:tc>
      </w:tr>
      <w:tr w14:paraId="5ED2C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tcPr>
          <w:p w14:paraId="2307018A">
            <w:pPr>
              <w:widowControl/>
              <w:spacing w:line="360" w:lineRule="auto"/>
              <w:rPr>
                <w:rFonts w:eastAsia="楷体_GB2312"/>
                <w:szCs w:val="21"/>
                <w:lang w:eastAsia="zh-TW"/>
              </w:rPr>
            </w:pPr>
            <w:r>
              <w:rPr>
                <w:rFonts w:eastAsia="楷体_GB2312"/>
                <w:szCs w:val="21"/>
                <w:lang w:eastAsia="zh-TW"/>
              </w:rPr>
              <w:t>（</w:t>
            </w:r>
            <w:r>
              <w:rPr>
                <w:rFonts w:eastAsia="楷体_GB2312"/>
                <w:szCs w:val="21"/>
              </w:rPr>
              <w:t>七</w:t>
            </w:r>
            <w:r>
              <w:rPr>
                <w:rFonts w:eastAsia="楷体_GB2312"/>
                <w:szCs w:val="21"/>
                <w:lang w:eastAsia="zh-TW"/>
              </w:rPr>
              <w:t>）贷款账龄分布</w:t>
            </w:r>
          </w:p>
        </w:tc>
      </w:tr>
      <w:tr w14:paraId="1921A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566E5244">
            <w:pPr>
              <w:widowControl/>
              <w:spacing w:line="360" w:lineRule="auto"/>
              <w:jc w:val="center"/>
              <w:rPr>
                <w:rFonts w:eastAsia="楷体_GB2312"/>
                <w:b/>
                <w:bCs/>
                <w:szCs w:val="21"/>
                <w:lang w:eastAsia="zh-TW"/>
              </w:rPr>
            </w:pPr>
            <w:r>
              <w:rPr>
                <w:rFonts w:eastAsia="楷体_GB2312"/>
                <w:b/>
                <w:bCs/>
                <w:szCs w:val="21"/>
                <w:lang w:eastAsia="zh-TW"/>
              </w:rPr>
              <w:t>账龄</w:t>
            </w:r>
          </w:p>
        </w:tc>
        <w:tc>
          <w:tcPr>
            <w:tcW w:w="1701" w:type="dxa"/>
            <w:tcBorders>
              <w:top w:val="single" w:color="auto" w:sz="4" w:space="0"/>
              <w:left w:val="single" w:color="auto" w:sz="4" w:space="0"/>
              <w:bottom w:val="single" w:color="auto" w:sz="4" w:space="0"/>
              <w:right w:val="single" w:color="auto" w:sz="4" w:space="0"/>
            </w:tcBorders>
            <w:vAlign w:val="center"/>
          </w:tcPr>
          <w:p w14:paraId="6156D238">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5ACB8E2D">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4E1A3A66">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5F3F4407">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08C319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3BECB397">
            <w:pPr>
              <w:widowControl/>
              <w:spacing w:line="360" w:lineRule="auto"/>
              <w:jc w:val="center"/>
              <w:rPr>
                <w:rFonts w:eastAsia="楷体_GB2312"/>
                <w:szCs w:val="21"/>
                <w:lang w:eastAsia="zh-TW"/>
              </w:rPr>
            </w:pPr>
            <w:r>
              <w:rPr>
                <w:rFonts w:eastAsia="楷体_GB2312"/>
                <w:szCs w:val="21"/>
                <w:lang w:eastAsia="zh-TW"/>
              </w:rPr>
              <w:t>[0,12]</w:t>
            </w:r>
          </w:p>
        </w:tc>
        <w:tc>
          <w:tcPr>
            <w:tcW w:w="1701" w:type="dxa"/>
            <w:tcBorders>
              <w:top w:val="single" w:color="auto" w:sz="4" w:space="0"/>
              <w:left w:val="single" w:color="auto" w:sz="4" w:space="0"/>
              <w:bottom w:val="single" w:color="auto" w:sz="4" w:space="0"/>
              <w:right w:val="single" w:color="auto" w:sz="4" w:space="0"/>
            </w:tcBorders>
            <w:vAlign w:val="center"/>
          </w:tcPr>
          <w:p w14:paraId="02B27509">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13409132">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F0EE41D">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6951F8CF">
            <w:pPr>
              <w:widowControl/>
              <w:spacing w:line="360" w:lineRule="auto"/>
              <w:jc w:val="center"/>
              <w:rPr>
                <w:rFonts w:eastAsia="楷体_GB2312"/>
                <w:szCs w:val="21"/>
                <w:lang w:eastAsia="zh-TW"/>
              </w:rPr>
            </w:pPr>
          </w:p>
        </w:tc>
      </w:tr>
      <w:tr w14:paraId="4B8D1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3FC7900A">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65EDA6C6">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6923DD48">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1FED0DD1">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6437CBA9">
            <w:pPr>
              <w:widowControl/>
              <w:spacing w:line="360" w:lineRule="auto"/>
              <w:jc w:val="center"/>
              <w:rPr>
                <w:rFonts w:eastAsia="楷体_GB2312"/>
                <w:szCs w:val="21"/>
                <w:lang w:eastAsia="zh-TW"/>
              </w:rPr>
            </w:pPr>
          </w:p>
        </w:tc>
      </w:tr>
      <w:tr w14:paraId="61E774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DB34D64">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62ACDF80">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1D071A2D">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348400AC">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471A9589">
            <w:pPr>
              <w:widowControl/>
              <w:spacing w:line="360" w:lineRule="auto"/>
              <w:jc w:val="center"/>
              <w:rPr>
                <w:rFonts w:eastAsia="楷体_GB2312"/>
                <w:szCs w:val="21"/>
                <w:lang w:eastAsia="zh-TW"/>
              </w:rPr>
            </w:pPr>
          </w:p>
        </w:tc>
      </w:tr>
      <w:tr w14:paraId="346F18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076B24CA">
            <w:pPr>
              <w:widowControl/>
              <w:spacing w:line="360" w:lineRule="auto"/>
              <w:rPr>
                <w:rFonts w:eastAsia="楷体_GB2312"/>
                <w:szCs w:val="21"/>
              </w:rPr>
            </w:pPr>
            <w:r>
              <w:rPr>
                <w:rFonts w:eastAsia="楷体_GB2312"/>
                <w:szCs w:val="21"/>
              </w:rPr>
              <w:t>（八）贷款剩余期限分布</w:t>
            </w:r>
          </w:p>
        </w:tc>
      </w:tr>
      <w:tr w14:paraId="267DE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24F97253">
            <w:pPr>
              <w:widowControl/>
              <w:spacing w:line="360" w:lineRule="auto"/>
              <w:jc w:val="center"/>
              <w:rPr>
                <w:rFonts w:eastAsia="楷体_GB2312"/>
                <w:b/>
                <w:bCs/>
                <w:szCs w:val="21"/>
                <w:lang w:eastAsia="zh-TW"/>
              </w:rPr>
            </w:pPr>
            <w:r>
              <w:rPr>
                <w:rFonts w:eastAsia="楷体_GB2312"/>
                <w:b/>
                <w:bCs/>
                <w:szCs w:val="21"/>
                <w:lang w:eastAsia="zh-TW"/>
              </w:rPr>
              <w:t>剩余期限</w:t>
            </w:r>
          </w:p>
        </w:tc>
        <w:tc>
          <w:tcPr>
            <w:tcW w:w="1701" w:type="dxa"/>
            <w:tcBorders>
              <w:top w:val="single" w:color="auto" w:sz="4" w:space="0"/>
              <w:left w:val="single" w:color="auto" w:sz="4" w:space="0"/>
              <w:bottom w:val="single" w:color="auto" w:sz="4" w:space="0"/>
              <w:right w:val="single" w:color="auto" w:sz="4" w:space="0"/>
            </w:tcBorders>
            <w:vAlign w:val="center"/>
          </w:tcPr>
          <w:p w14:paraId="10A3B352">
            <w:pPr>
              <w:widowControl/>
              <w:spacing w:line="360" w:lineRule="auto"/>
              <w:jc w:val="center"/>
              <w:rPr>
                <w:rFonts w:eastAsia="楷体_GB2312"/>
                <w:b/>
                <w:bCs/>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73230A1B">
            <w:pPr>
              <w:widowControl/>
              <w:spacing w:line="360" w:lineRule="auto"/>
              <w:jc w:val="center"/>
              <w:rPr>
                <w:rFonts w:eastAsia="楷体_GB2312"/>
                <w:b/>
                <w:bCs/>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2247AC4A">
            <w:pPr>
              <w:widowControl/>
              <w:spacing w:line="360" w:lineRule="auto"/>
              <w:jc w:val="center"/>
              <w:rPr>
                <w:rFonts w:eastAsia="楷体_GB2312"/>
                <w:b/>
                <w:bCs/>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32A95DBD">
            <w:pPr>
              <w:widowControl/>
              <w:spacing w:line="360" w:lineRule="auto"/>
              <w:jc w:val="center"/>
              <w:rPr>
                <w:rFonts w:eastAsia="楷体_GB2312"/>
                <w:b/>
                <w:bCs/>
                <w:szCs w:val="21"/>
                <w:lang w:eastAsia="zh-TW"/>
              </w:rPr>
            </w:pPr>
            <w:r>
              <w:rPr>
                <w:rFonts w:eastAsia="楷体_GB2312"/>
                <w:b/>
                <w:bCs/>
                <w:szCs w:val="21"/>
                <w:lang w:eastAsia="zh-TW"/>
              </w:rPr>
              <w:t>入池金额占比</w:t>
            </w:r>
          </w:p>
        </w:tc>
      </w:tr>
      <w:tr w14:paraId="23A417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623C4FF">
            <w:pPr>
              <w:widowControl/>
              <w:spacing w:line="360" w:lineRule="auto"/>
              <w:jc w:val="center"/>
              <w:rPr>
                <w:rFonts w:eastAsia="楷体_GB2312"/>
                <w:szCs w:val="21"/>
                <w:lang w:eastAsia="zh-TW"/>
              </w:rPr>
            </w:pPr>
            <w:r>
              <w:rPr>
                <w:rFonts w:eastAsia="楷体_GB2312"/>
                <w:szCs w:val="21"/>
                <w:lang w:eastAsia="zh-TW"/>
              </w:rPr>
              <w:t>(0,12]</w:t>
            </w:r>
          </w:p>
        </w:tc>
        <w:tc>
          <w:tcPr>
            <w:tcW w:w="1701" w:type="dxa"/>
            <w:tcBorders>
              <w:top w:val="single" w:color="auto" w:sz="4" w:space="0"/>
              <w:left w:val="single" w:color="auto" w:sz="4" w:space="0"/>
              <w:bottom w:val="single" w:color="auto" w:sz="4" w:space="0"/>
              <w:right w:val="single" w:color="auto" w:sz="4" w:space="0"/>
            </w:tcBorders>
            <w:vAlign w:val="center"/>
          </w:tcPr>
          <w:p w14:paraId="65493AA8">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455C3EEF">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7EE732FC">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069BD76D">
            <w:pPr>
              <w:widowControl/>
              <w:spacing w:line="360" w:lineRule="auto"/>
              <w:jc w:val="center"/>
              <w:rPr>
                <w:rFonts w:eastAsia="楷体_GB2312"/>
                <w:szCs w:val="21"/>
                <w:lang w:eastAsia="zh-TW"/>
              </w:rPr>
            </w:pPr>
          </w:p>
        </w:tc>
      </w:tr>
      <w:tr w14:paraId="3DEE63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9149513">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55A7EDD1">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265B44B1">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1667050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0937D4E1">
            <w:pPr>
              <w:widowControl/>
              <w:spacing w:line="360" w:lineRule="auto"/>
              <w:jc w:val="center"/>
              <w:rPr>
                <w:rFonts w:eastAsia="楷体_GB2312"/>
                <w:szCs w:val="21"/>
                <w:lang w:eastAsia="zh-TW"/>
              </w:rPr>
            </w:pPr>
          </w:p>
        </w:tc>
      </w:tr>
      <w:tr w14:paraId="245FD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D617757">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1F2C4B8E">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015B3F50">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498806F">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0983E7CA">
            <w:pPr>
              <w:widowControl/>
              <w:spacing w:line="360" w:lineRule="auto"/>
              <w:jc w:val="center"/>
              <w:rPr>
                <w:rFonts w:eastAsia="楷体_GB2312"/>
                <w:szCs w:val="21"/>
                <w:lang w:eastAsia="zh-TW"/>
              </w:rPr>
            </w:pPr>
          </w:p>
        </w:tc>
      </w:tr>
      <w:tr w14:paraId="0F833F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0BDF45BE">
            <w:pPr>
              <w:widowControl/>
              <w:spacing w:line="360" w:lineRule="auto"/>
              <w:rPr>
                <w:rFonts w:eastAsia="楷体_GB2312"/>
                <w:szCs w:val="21"/>
                <w:lang w:eastAsia="zh-TW"/>
              </w:rPr>
            </w:pPr>
            <w:r>
              <w:rPr>
                <w:rFonts w:eastAsia="楷体_GB2312"/>
                <w:szCs w:val="21"/>
                <w:lang w:eastAsia="zh-TW"/>
              </w:rPr>
              <w:t>（</w:t>
            </w:r>
            <w:r>
              <w:rPr>
                <w:rFonts w:eastAsia="楷体_GB2312"/>
                <w:szCs w:val="21"/>
              </w:rPr>
              <w:t>九</w:t>
            </w:r>
            <w:r>
              <w:rPr>
                <w:rFonts w:eastAsia="楷体_GB2312"/>
                <w:szCs w:val="21"/>
                <w:lang w:eastAsia="zh-TW"/>
              </w:rPr>
              <w:t>）还款方式分布</w:t>
            </w:r>
          </w:p>
        </w:tc>
      </w:tr>
      <w:tr w14:paraId="411EA5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392755BF">
            <w:pPr>
              <w:widowControl/>
              <w:spacing w:line="360" w:lineRule="auto"/>
              <w:jc w:val="center"/>
              <w:rPr>
                <w:rFonts w:eastAsia="楷体_GB2312"/>
                <w:b/>
              </w:rPr>
            </w:pPr>
            <w:r>
              <w:rPr>
                <w:rFonts w:eastAsia="楷体_GB2312"/>
                <w:b/>
              </w:rPr>
              <w:t>还款方式</w:t>
            </w:r>
          </w:p>
        </w:tc>
        <w:tc>
          <w:tcPr>
            <w:tcW w:w="1701" w:type="dxa"/>
            <w:tcBorders>
              <w:top w:val="single" w:color="auto" w:sz="4" w:space="0"/>
              <w:left w:val="single" w:color="auto" w:sz="4" w:space="0"/>
              <w:bottom w:val="single" w:color="auto" w:sz="4" w:space="0"/>
              <w:right w:val="single" w:color="auto" w:sz="4" w:space="0"/>
            </w:tcBorders>
            <w:vAlign w:val="center"/>
          </w:tcPr>
          <w:p w14:paraId="35114C7A">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73AFBC6F">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37DCDF8B">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2F789CA8">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01A9D4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FC41D93">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31AF6A51">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318E7E11">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4287277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56010F03">
            <w:pPr>
              <w:widowControl/>
              <w:spacing w:line="360" w:lineRule="auto"/>
              <w:jc w:val="center"/>
              <w:rPr>
                <w:rFonts w:eastAsia="楷体_GB2312"/>
                <w:szCs w:val="21"/>
                <w:lang w:eastAsia="zh-TW"/>
              </w:rPr>
            </w:pPr>
          </w:p>
        </w:tc>
      </w:tr>
      <w:tr w14:paraId="495A5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B511B4F">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21918875">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672CBEF4">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3AA6774C">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F3B8497">
            <w:pPr>
              <w:widowControl/>
              <w:spacing w:line="360" w:lineRule="auto"/>
              <w:jc w:val="center"/>
              <w:rPr>
                <w:rFonts w:eastAsia="楷体_GB2312"/>
                <w:szCs w:val="21"/>
                <w:lang w:eastAsia="zh-TW"/>
              </w:rPr>
            </w:pPr>
          </w:p>
        </w:tc>
      </w:tr>
      <w:tr w14:paraId="29842E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28CF0875">
            <w:pPr>
              <w:widowControl/>
              <w:spacing w:line="360" w:lineRule="auto"/>
              <w:rPr>
                <w:rFonts w:eastAsia="楷体_GB2312"/>
                <w:szCs w:val="21"/>
                <w:lang w:eastAsia="zh-TW"/>
              </w:rPr>
            </w:pPr>
            <w:r>
              <w:rPr>
                <w:rFonts w:eastAsia="楷体_GB2312"/>
                <w:szCs w:val="21"/>
                <w:lang w:eastAsia="zh-TW"/>
              </w:rPr>
              <w:t>（</w:t>
            </w:r>
            <w:r>
              <w:rPr>
                <w:rFonts w:eastAsia="楷体_GB2312"/>
                <w:szCs w:val="21"/>
              </w:rPr>
              <w:t>十</w:t>
            </w:r>
            <w:r>
              <w:rPr>
                <w:rFonts w:eastAsia="楷体_GB2312"/>
                <w:szCs w:val="21"/>
                <w:lang w:eastAsia="zh-TW"/>
              </w:rPr>
              <w:t>）贷款用途分布</w:t>
            </w:r>
          </w:p>
        </w:tc>
      </w:tr>
      <w:tr w14:paraId="0CF4D1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F00335C">
            <w:pPr>
              <w:widowControl/>
              <w:spacing w:line="360" w:lineRule="auto"/>
              <w:jc w:val="center"/>
              <w:rPr>
                <w:rFonts w:eastAsia="楷体_GB2312"/>
                <w:b/>
                <w:bCs/>
                <w:szCs w:val="21"/>
                <w:lang w:eastAsia="zh-TW"/>
              </w:rPr>
            </w:pPr>
            <w:r>
              <w:rPr>
                <w:rFonts w:eastAsia="楷体_GB2312"/>
                <w:b/>
                <w:bCs/>
                <w:szCs w:val="21"/>
                <w:lang w:eastAsia="zh-TW"/>
              </w:rPr>
              <w:t>贷款用途</w:t>
            </w:r>
          </w:p>
        </w:tc>
        <w:tc>
          <w:tcPr>
            <w:tcW w:w="1701" w:type="dxa"/>
            <w:tcBorders>
              <w:top w:val="single" w:color="auto" w:sz="4" w:space="0"/>
              <w:left w:val="single" w:color="auto" w:sz="4" w:space="0"/>
              <w:bottom w:val="single" w:color="auto" w:sz="4" w:space="0"/>
              <w:right w:val="single" w:color="auto" w:sz="4" w:space="0"/>
            </w:tcBorders>
            <w:vAlign w:val="center"/>
          </w:tcPr>
          <w:p w14:paraId="55BF4250">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255FD480">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6867F961">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77D6F7FE">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2153D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27232E00">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0BA88A5F">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5BD12637">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01B405AB">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724A23FF">
            <w:pPr>
              <w:widowControl/>
              <w:spacing w:line="360" w:lineRule="auto"/>
              <w:jc w:val="center"/>
              <w:rPr>
                <w:rFonts w:eastAsia="楷体_GB2312"/>
                <w:szCs w:val="21"/>
                <w:lang w:eastAsia="zh-TW"/>
              </w:rPr>
            </w:pPr>
          </w:p>
        </w:tc>
      </w:tr>
      <w:tr w14:paraId="2B613C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280405F5">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3D655122">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72E669FA">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0C7C99DA">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232707C1">
            <w:pPr>
              <w:widowControl/>
              <w:spacing w:line="360" w:lineRule="auto"/>
              <w:jc w:val="center"/>
              <w:rPr>
                <w:rFonts w:eastAsia="楷体_GB2312"/>
                <w:szCs w:val="21"/>
                <w:lang w:eastAsia="zh-TW"/>
              </w:rPr>
            </w:pPr>
          </w:p>
        </w:tc>
      </w:tr>
      <w:tr w14:paraId="4EF654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4C5AB59E">
            <w:pPr>
              <w:widowControl/>
              <w:spacing w:line="360" w:lineRule="auto"/>
              <w:rPr>
                <w:rFonts w:eastAsia="楷体_GB2312"/>
                <w:szCs w:val="21"/>
              </w:rPr>
            </w:pPr>
            <w:r>
              <w:rPr>
                <w:rFonts w:eastAsia="楷体_GB2312"/>
                <w:szCs w:val="21"/>
              </w:rPr>
              <w:t>（十一）贷款类型分布</w:t>
            </w:r>
          </w:p>
        </w:tc>
      </w:tr>
      <w:tr w14:paraId="084F7F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5B0CE902">
            <w:pPr>
              <w:widowControl/>
              <w:spacing w:line="360" w:lineRule="auto"/>
              <w:jc w:val="center"/>
              <w:rPr>
                <w:rFonts w:eastAsia="楷体_GB2312"/>
                <w:b/>
              </w:rPr>
            </w:pPr>
            <w:r>
              <w:rPr>
                <w:rFonts w:eastAsia="楷体_GB2312"/>
                <w:b/>
              </w:rPr>
              <w:t>贷款类型</w:t>
            </w:r>
          </w:p>
        </w:tc>
        <w:tc>
          <w:tcPr>
            <w:tcW w:w="1701" w:type="dxa"/>
            <w:tcBorders>
              <w:top w:val="single" w:color="auto" w:sz="4" w:space="0"/>
              <w:left w:val="single" w:color="auto" w:sz="4" w:space="0"/>
              <w:bottom w:val="single" w:color="auto" w:sz="4" w:space="0"/>
              <w:right w:val="single" w:color="auto" w:sz="4" w:space="0"/>
            </w:tcBorders>
            <w:vAlign w:val="center"/>
          </w:tcPr>
          <w:p w14:paraId="1953E62B">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42B1BD70">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37BD45E8">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732FB569">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42EDF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CCAAE2D">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3688EFFB">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3E6B3EEF">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335A2CFE">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257CE1C5">
            <w:pPr>
              <w:widowControl/>
              <w:spacing w:line="360" w:lineRule="auto"/>
              <w:jc w:val="center"/>
              <w:rPr>
                <w:rFonts w:eastAsia="楷体_GB2312"/>
                <w:szCs w:val="21"/>
                <w:lang w:eastAsia="zh-TW"/>
              </w:rPr>
            </w:pPr>
          </w:p>
        </w:tc>
      </w:tr>
      <w:tr w14:paraId="186B3D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3F77A4FC">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6C013667">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05910BFA">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885215B">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65D67FE">
            <w:pPr>
              <w:widowControl/>
              <w:spacing w:line="360" w:lineRule="auto"/>
              <w:jc w:val="center"/>
              <w:rPr>
                <w:rFonts w:eastAsia="楷体_GB2312"/>
                <w:szCs w:val="21"/>
                <w:lang w:eastAsia="zh-TW"/>
              </w:rPr>
            </w:pPr>
          </w:p>
        </w:tc>
      </w:tr>
      <w:tr w14:paraId="798F6C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4"/>
          <w:wAfter w:w="6662" w:type="dxa"/>
        </w:trPr>
        <w:tc>
          <w:tcPr>
            <w:tcW w:w="1980" w:type="dxa"/>
            <w:tcBorders>
              <w:top w:val="single" w:color="auto" w:sz="4" w:space="0"/>
              <w:bottom w:val="single" w:color="auto" w:sz="4" w:space="0"/>
            </w:tcBorders>
            <w:vAlign w:val="center"/>
          </w:tcPr>
          <w:p w14:paraId="65153497">
            <w:pPr>
              <w:widowControl/>
              <w:spacing w:line="360" w:lineRule="auto"/>
              <w:jc w:val="center"/>
              <w:rPr>
                <w:rFonts w:eastAsia="楷体_GB2312"/>
                <w:szCs w:val="21"/>
                <w:lang w:eastAsia="zh-TW"/>
              </w:rPr>
            </w:pPr>
            <w:r>
              <w:rPr>
                <w:rFonts w:eastAsia="楷体_GB2312"/>
                <w:szCs w:val="21"/>
                <w:lang w:eastAsia="zh-TW"/>
              </w:rPr>
              <w:t>合计</w:t>
            </w:r>
          </w:p>
        </w:tc>
      </w:tr>
      <w:tr w14:paraId="604640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right w:val="single" w:color="auto" w:sz="4" w:space="0"/>
            </w:tcBorders>
            <w:vAlign w:val="center"/>
          </w:tcPr>
          <w:p w14:paraId="0E474C49">
            <w:pPr>
              <w:widowControl/>
              <w:spacing w:line="360" w:lineRule="auto"/>
              <w:rPr>
                <w:rFonts w:eastAsia="楷体_GB2312"/>
                <w:szCs w:val="21"/>
                <w:lang w:eastAsia="zh-TW"/>
              </w:rPr>
            </w:pPr>
            <w:r>
              <w:rPr>
                <w:rFonts w:eastAsia="楷体_GB2312"/>
                <w:szCs w:val="21"/>
                <w:lang w:eastAsia="zh-TW"/>
              </w:rPr>
              <w:t>（十二）借款人年收入分布</w:t>
            </w:r>
          </w:p>
        </w:tc>
      </w:tr>
      <w:tr w14:paraId="44ED75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21D6ACC">
            <w:pPr>
              <w:widowControl/>
              <w:spacing w:line="360" w:lineRule="auto"/>
              <w:jc w:val="center"/>
              <w:rPr>
                <w:rFonts w:eastAsia="楷体_GB2312"/>
                <w:b/>
              </w:rPr>
            </w:pPr>
            <w:r>
              <w:rPr>
                <w:rFonts w:eastAsia="楷体_GB2312"/>
                <w:b/>
                <w:bCs/>
                <w:szCs w:val="21"/>
                <w:lang w:eastAsia="zh-TW"/>
              </w:rPr>
              <w:t>年收入</w:t>
            </w:r>
          </w:p>
        </w:tc>
        <w:tc>
          <w:tcPr>
            <w:tcW w:w="1701" w:type="dxa"/>
            <w:tcBorders>
              <w:top w:val="single" w:color="auto" w:sz="4" w:space="0"/>
              <w:left w:val="single" w:color="auto" w:sz="4" w:space="0"/>
              <w:bottom w:val="single" w:color="auto" w:sz="4" w:space="0"/>
              <w:right w:val="single" w:color="auto" w:sz="4" w:space="0"/>
            </w:tcBorders>
            <w:vAlign w:val="center"/>
          </w:tcPr>
          <w:p w14:paraId="3D96B6A7">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59E9F465">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7F519B5B">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78C1FC00">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598C8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4B8E036">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237E5308">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40442476">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1137927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BF9CF25">
            <w:pPr>
              <w:widowControl/>
              <w:spacing w:line="360" w:lineRule="auto"/>
              <w:jc w:val="center"/>
              <w:rPr>
                <w:rFonts w:eastAsia="楷体_GB2312"/>
                <w:szCs w:val="21"/>
                <w:lang w:eastAsia="zh-TW"/>
              </w:rPr>
            </w:pPr>
          </w:p>
        </w:tc>
      </w:tr>
      <w:tr w14:paraId="5EC8C1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008C75C">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6BD4CFEA">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5E392663">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51829E79">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B066120">
            <w:pPr>
              <w:widowControl/>
              <w:spacing w:line="360" w:lineRule="auto"/>
              <w:jc w:val="center"/>
              <w:rPr>
                <w:rFonts w:eastAsia="楷体_GB2312"/>
                <w:szCs w:val="21"/>
                <w:lang w:eastAsia="zh-TW"/>
              </w:rPr>
            </w:pPr>
          </w:p>
        </w:tc>
      </w:tr>
      <w:tr w14:paraId="6729B2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4"/>
          <w:wAfter w:w="6662" w:type="dxa"/>
        </w:trPr>
        <w:tc>
          <w:tcPr>
            <w:tcW w:w="1980" w:type="dxa"/>
            <w:tcBorders>
              <w:top w:val="single" w:color="auto" w:sz="4" w:space="0"/>
              <w:bottom w:val="single" w:color="auto" w:sz="4" w:space="0"/>
            </w:tcBorders>
            <w:vAlign w:val="center"/>
          </w:tcPr>
          <w:p w14:paraId="56C53907">
            <w:pPr>
              <w:widowControl/>
              <w:spacing w:line="360" w:lineRule="auto"/>
              <w:jc w:val="center"/>
              <w:rPr>
                <w:rFonts w:eastAsia="楷体_GB2312"/>
                <w:szCs w:val="21"/>
                <w:lang w:eastAsia="zh-TW"/>
              </w:rPr>
            </w:pPr>
            <w:r>
              <w:rPr>
                <w:rFonts w:eastAsia="楷体_GB2312"/>
                <w:szCs w:val="21"/>
                <w:lang w:eastAsia="zh-TW"/>
              </w:rPr>
              <w:t>合计</w:t>
            </w:r>
          </w:p>
        </w:tc>
      </w:tr>
      <w:tr w14:paraId="4B25F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right w:val="single" w:color="auto" w:sz="4" w:space="0"/>
            </w:tcBorders>
            <w:vAlign w:val="center"/>
          </w:tcPr>
          <w:p w14:paraId="45BBA7EC">
            <w:pPr>
              <w:widowControl/>
              <w:spacing w:line="360" w:lineRule="auto"/>
              <w:rPr>
                <w:rFonts w:eastAsia="楷体_GB2312"/>
                <w:szCs w:val="21"/>
              </w:rPr>
            </w:pPr>
            <w:r>
              <w:rPr>
                <w:rFonts w:eastAsia="楷体_GB2312"/>
                <w:szCs w:val="21"/>
              </w:rPr>
              <w:t>（十三）借款人区域分布</w:t>
            </w:r>
          </w:p>
        </w:tc>
      </w:tr>
      <w:tr w14:paraId="5B2711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A2993C8">
            <w:pPr>
              <w:widowControl/>
              <w:spacing w:line="360" w:lineRule="auto"/>
              <w:jc w:val="center"/>
              <w:rPr>
                <w:rFonts w:eastAsia="楷体_GB2312"/>
                <w:b/>
              </w:rPr>
            </w:pPr>
            <w:r>
              <w:rPr>
                <w:rFonts w:eastAsia="楷体_GB2312"/>
                <w:b/>
                <w:bCs/>
                <w:szCs w:val="21"/>
                <w:lang w:eastAsia="zh-TW"/>
              </w:rPr>
              <w:t>地区</w:t>
            </w:r>
          </w:p>
        </w:tc>
        <w:tc>
          <w:tcPr>
            <w:tcW w:w="1701" w:type="dxa"/>
            <w:tcBorders>
              <w:top w:val="single" w:color="auto" w:sz="4" w:space="0"/>
              <w:left w:val="single" w:color="auto" w:sz="4" w:space="0"/>
              <w:bottom w:val="single" w:color="auto" w:sz="4" w:space="0"/>
              <w:right w:val="single" w:color="auto" w:sz="4" w:space="0"/>
            </w:tcBorders>
            <w:vAlign w:val="center"/>
          </w:tcPr>
          <w:p w14:paraId="781712D4">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283A518B">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60570528">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056DAA33">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435FD1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4E13844">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4F3834AF">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3A4A0F51">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463A65ED">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49650439">
            <w:pPr>
              <w:widowControl/>
              <w:spacing w:line="360" w:lineRule="auto"/>
              <w:jc w:val="center"/>
              <w:rPr>
                <w:rFonts w:eastAsia="楷体_GB2312"/>
                <w:szCs w:val="21"/>
                <w:lang w:eastAsia="zh-TW"/>
              </w:rPr>
            </w:pPr>
          </w:p>
        </w:tc>
      </w:tr>
      <w:tr w14:paraId="0914DF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DEF50F2">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7101394A">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56FFC2DE">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CE3A993">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34ED2799">
            <w:pPr>
              <w:widowControl/>
              <w:spacing w:line="360" w:lineRule="auto"/>
              <w:jc w:val="center"/>
              <w:rPr>
                <w:rFonts w:eastAsia="楷体_GB2312"/>
                <w:szCs w:val="21"/>
                <w:lang w:eastAsia="zh-TW"/>
              </w:rPr>
            </w:pPr>
          </w:p>
        </w:tc>
      </w:tr>
      <w:tr w14:paraId="7323D6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0BF4C47">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45DDE7E1">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6D158365">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6D5EAB21">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63D8117D">
            <w:pPr>
              <w:widowControl/>
              <w:spacing w:line="360" w:lineRule="auto"/>
              <w:jc w:val="center"/>
              <w:rPr>
                <w:rFonts w:eastAsia="楷体_GB2312"/>
                <w:szCs w:val="21"/>
                <w:lang w:eastAsia="zh-TW"/>
              </w:rPr>
            </w:pPr>
          </w:p>
        </w:tc>
      </w:tr>
      <w:tr w14:paraId="09AE84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40D6C0C8">
            <w:pPr>
              <w:widowControl/>
              <w:spacing w:line="360" w:lineRule="auto"/>
              <w:rPr>
                <w:rFonts w:eastAsia="楷体_GB2312"/>
                <w:szCs w:val="21"/>
              </w:rPr>
            </w:pPr>
            <w:r>
              <w:rPr>
                <w:rFonts w:eastAsia="楷体_GB2312"/>
                <w:szCs w:val="21"/>
              </w:rPr>
              <w:t>（十四）借款人行业分布</w:t>
            </w:r>
          </w:p>
        </w:tc>
      </w:tr>
      <w:tr w14:paraId="61A469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71A7C20">
            <w:pPr>
              <w:widowControl/>
              <w:spacing w:line="360" w:lineRule="auto"/>
              <w:jc w:val="center"/>
              <w:rPr>
                <w:rFonts w:eastAsia="楷体_GB2312"/>
                <w:szCs w:val="21"/>
                <w:lang w:eastAsia="zh-TW"/>
              </w:rPr>
            </w:pPr>
            <w:r>
              <w:rPr>
                <w:rFonts w:eastAsia="楷体_GB2312"/>
                <w:b/>
                <w:bCs/>
                <w:szCs w:val="21"/>
                <w:lang w:eastAsia="zh-TW"/>
              </w:rPr>
              <w:t>地区</w:t>
            </w:r>
          </w:p>
        </w:tc>
        <w:tc>
          <w:tcPr>
            <w:tcW w:w="1701" w:type="dxa"/>
            <w:tcBorders>
              <w:top w:val="single" w:color="auto" w:sz="4" w:space="0"/>
              <w:left w:val="single" w:color="auto" w:sz="4" w:space="0"/>
              <w:bottom w:val="single" w:color="auto" w:sz="4" w:space="0"/>
              <w:right w:val="single" w:color="auto" w:sz="4" w:space="0"/>
            </w:tcBorders>
            <w:vAlign w:val="center"/>
          </w:tcPr>
          <w:p w14:paraId="1E189225">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2FAB69F6">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5E0CD802">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2DC7B62B">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165505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B746547">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3B5E4C4E">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2BA21B63">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050170A5">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234B2EF4">
            <w:pPr>
              <w:widowControl/>
              <w:spacing w:line="360" w:lineRule="auto"/>
              <w:jc w:val="center"/>
              <w:rPr>
                <w:rFonts w:eastAsia="楷体_GB2312"/>
                <w:szCs w:val="21"/>
                <w:lang w:eastAsia="zh-TW"/>
              </w:rPr>
            </w:pPr>
          </w:p>
        </w:tc>
      </w:tr>
      <w:tr w14:paraId="50481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56B86F4D">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7C92B622">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23623C66">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0AB3ED40">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33A15BB6">
            <w:pPr>
              <w:widowControl/>
              <w:spacing w:line="360" w:lineRule="auto"/>
              <w:jc w:val="center"/>
              <w:rPr>
                <w:rFonts w:eastAsia="楷体_GB2312"/>
                <w:szCs w:val="21"/>
                <w:lang w:eastAsia="zh-TW"/>
              </w:rPr>
            </w:pPr>
          </w:p>
        </w:tc>
      </w:tr>
      <w:tr w14:paraId="1CF934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883E99C">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77A5F889">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353C8B25">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6EB2C927">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5BDBDEA5">
            <w:pPr>
              <w:widowControl/>
              <w:spacing w:line="360" w:lineRule="auto"/>
              <w:jc w:val="center"/>
              <w:rPr>
                <w:rFonts w:eastAsia="楷体_GB2312"/>
                <w:szCs w:val="21"/>
                <w:lang w:eastAsia="zh-TW"/>
              </w:rPr>
            </w:pPr>
          </w:p>
        </w:tc>
      </w:tr>
      <w:tr w14:paraId="07C919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1F72879B">
            <w:pPr>
              <w:spacing w:before="120"/>
              <w:rPr>
                <w:rFonts w:eastAsia="楷体_GB2312"/>
                <w:szCs w:val="21"/>
              </w:rPr>
            </w:pPr>
            <w:r>
              <w:rPr>
                <w:rFonts w:eastAsia="楷体_GB2312"/>
                <w:szCs w:val="21"/>
              </w:rPr>
              <w:t>（十五）借款人信用分数分布</w:t>
            </w:r>
          </w:p>
        </w:tc>
      </w:tr>
      <w:tr w14:paraId="26D768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8F38F87">
            <w:pPr>
              <w:widowControl/>
              <w:spacing w:line="360" w:lineRule="auto"/>
              <w:jc w:val="center"/>
              <w:rPr>
                <w:rFonts w:eastAsia="楷体_GB2312"/>
                <w:szCs w:val="21"/>
                <w:lang w:eastAsia="zh-TW"/>
              </w:rPr>
            </w:pPr>
            <w:r>
              <w:rPr>
                <w:rFonts w:eastAsia="楷体_GB2312"/>
                <w:b/>
                <w:bCs/>
                <w:szCs w:val="21"/>
                <w:lang w:eastAsia="zh-TW"/>
              </w:rPr>
              <w:t>信用分数</w:t>
            </w:r>
          </w:p>
        </w:tc>
        <w:tc>
          <w:tcPr>
            <w:tcW w:w="1701" w:type="dxa"/>
            <w:tcBorders>
              <w:top w:val="single" w:color="auto" w:sz="4" w:space="0"/>
              <w:left w:val="single" w:color="auto" w:sz="4" w:space="0"/>
              <w:bottom w:val="single" w:color="auto" w:sz="4" w:space="0"/>
              <w:right w:val="single" w:color="auto" w:sz="4" w:space="0"/>
            </w:tcBorders>
            <w:vAlign w:val="center"/>
          </w:tcPr>
          <w:p w14:paraId="42D61B5D">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2AE49926">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1ED422E5">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4B4B67BC">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7C3E72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30C32CE8">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4A9E9579">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40D930F4">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6737CCFE">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62C009A2">
            <w:pPr>
              <w:widowControl/>
              <w:spacing w:line="360" w:lineRule="auto"/>
              <w:jc w:val="center"/>
              <w:rPr>
                <w:rFonts w:eastAsia="楷体_GB2312"/>
                <w:szCs w:val="21"/>
                <w:lang w:eastAsia="zh-TW"/>
              </w:rPr>
            </w:pPr>
          </w:p>
        </w:tc>
      </w:tr>
      <w:tr w14:paraId="6F655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2AD3382">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499DBBB2">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433681B8">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1D1B4976">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3ADDF0A2">
            <w:pPr>
              <w:widowControl/>
              <w:spacing w:line="360" w:lineRule="auto"/>
              <w:jc w:val="center"/>
              <w:rPr>
                <w:rFonts w:eastAsia="楷体_GB2312"/>
                <w:szCs w:val="21"/>
                <w:lang w:eastAsia="zh-TW"/>
              </w:rPr>
            </w:pPr>
          </w:p>
        </w:tc>
      </w:tr>
      <w:tr w14:paraId="4EC0E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1E9E736A">
            <w:pPr>
              <w:widowControl/>
              <w:spacing w:line="360" w:lineRule="auto"/>
              <w:jc w:val="center"/>
              <w:rPr>
                <w:rFonts w:eastAsia="楷体_GB2312"/>
                <w:szCs w:val="21"/>
                <w:lang w:eastAsia="zh-TW"/>
              </w:rPr>
            </w:pPr>
          </w:p>
        </w:tc>
        <w:tc>
          <w:tcPr>
            <w:tcW w:w="1701" w:type="dxa"/>
            <w:tcBorders>
              <w:top w:val="single" w:color="auto" w:sz="4" w:space="0"/>
              <w:left w:val="single" w:color="auto" w:sz="4" w:space="0"/>
              <w:bottom w:val="single" w:color="auto" w:sz="4" w:space="0"/>
              <w:right w:val="single" w:color="auto" w:sz="4" w:space="0"/>
            </w:tcBorders>
            <w:vAlign w:val="center"/>
          </w:tcPr>
          <w:p w14:paraId="3FBE598A">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047DC72C">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684E93C3">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29878332">
            <w:pPr>
              <w:widowControl/>
              <w:spacing w:line="360" w:lineRule="auto"/>
              <w:jc w:val="center"/>
              <w:rPr>
                <w:rFonts w:eastAsia="楷体_GB2312"/>
                <w:szCs w:val="21"/>
                <w:lang w:eastAsia="zh-TW"/>
              </w:rPr>
            </w:pPr>
          </w:p>
        </w:tc>
      </w:tr>
      <w:tr w14:paraId="0260A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59C9149B">
            <w:pPr>
              <w:widowControl/>
              <w:spacing w:line="360" w:lineRule="auto"/>
              <w:jc w:val="center"/>
              <w:rPr>
                <w:rFonts w:eastAsia="楷体_GB2312"/>
                <w:szCs w:val="21"/>
                <w:lang w:eastAsia="zh-TW"/>
              </w:rPr>
            </w:pPr>
          </w:p>
        </w:tc>
        <w:tc>
          <w:tcPr>
            <w:tcW w:w="1701" w:type="dxa"/>
            <w:tcBorders>
              <w:top w:val="single" w:color="auto" w:sz="4" w:space="0"/>
              <w:left w:val="single" w:color="auto" w:sz="4" w:space="0"/>
              <w:bottom w:val="single" w:color="auto" w:sz="4" w:space="0"/>
              <w:right w:val="single" w:color="auto" w:sz="4" w:space="0"/>
            </w:tcBorders>
            <w:vAlign w:val="center"/>
          </w:tcPr>
          <w:p w14:paraId="122855C1">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306E7F9E">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1A229436">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3B9C9DDB">
            <w:pPr>
              <w:widowControl/>
              <w:spacing w:line="360" w:lineRule="auto"/>
              <w:jc w:val="center"/>
              <w:rPr>
                <w:rFonts w:eastAsia="楷体_GB2312"/>
                <w:szCs w:val="21"/>
                <w:lang w:eastAsia="zh-TW"/>
              </w:rPr>
            </w:pPr>
          </w:p>
        </w:tc>
      </w:tr>
      <w:tr w14:paraId="298492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507D1B2D">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6A887F04">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117D9BFD">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1AD60317">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F415C74">
            <w:pPr>
              <w:widowControl/>
              <w:spacing w:line="360" w:lineRule="auto"/>
              <w:jc w:val="center"/>
              <w:rPr>
                <w:rFonts w:eastAsia="楷体_GB2312"/>
                <w:szCs w:val="21"/>
                <w:lang w:eastAsia="zh-TW"/>
              </w:rPr>
            </w:pPr>
          </w:p>
        </w:tc>
      </w:tr>
    </w:tbl>
    <w:p w14:paraId="5DF41EF8">
      <w:pPr>
        <w:rPr>
          <w:rFonts w:eastAsia="楷体_GB2312"/>
        </w:rPr>
      </w:pPr>
    </w:p>
    <w:p w14:paraId="79550953">
      <w:pPr>
        <w:widowControl/>
        <w:jc w:val="left"/>
        <w:rPr>
          <w:rFonts w:eastAsia="楷体_GB2312"/>
        </w:rPr>
      </w:pPr>
    </w:p>
    <w:p w14:paraId="4E53B14F">
      <w:pPr>
        <w:widowControl/>
        <w:jc w:val="left"/>
        <w:rPr>
          <w:rFonts w:eastAsia="楷体_GB2312"/>
        </w:rPr>
      </w:pPr>
      <w:r>
        <w:rPr>
          <w:rFonts w:eastAsia="楷体_GB2312"/>
        </w:rPr>
        <w:br w:type="page"/>
      </w:r>
    </w:p>
    <w:p w14:paraId="7BC5FCC9">
      <w:pPr>
        <w:widowControl/>
        <w:jc w:val="left"/>
        <w:rPr>
          <w:rFonts w:eastAsia="楷体_GB2312"/>
        </w:rPr>
      </w:pPr>
    </w:p>
    <w:tbl>
      <w:tblPr>
        <w:tblStyle w:val="2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7"/>
        <w:gridCol w:w="3241"/>
        <w:gridCol w:w="2652"/>
      </w:tblGrid>
      <w:tr w14:paraId="3DAD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3"/>
            <w:tcBorders>
              <w:top w:val="single" w:color="auto" w:sz="4" w:space="0"/>
              <w:left w:val="single" w:color="auto" w:sz="4" w:space="0"/>
              <w:bottom w:val="single" w:color="auto" w:sz="4" w:space="0"/>
              <w:right w:val="single" w:color="auto" w:sz="4" w:space="0"/>
            </w:tcBorders>
          </w:tcPr>
          <w:p w14:paraId="757FAA18">
            <w:pPr>
              <w:widowControl/>
              <w:spacing w:line="360" w:lineRule="auto"/>
              <w:jc w:val="center"/>
              <w:rPr>
                <w:rFonts w:eastAsia="楷体_GB2312"/>
                <w:b/>
                <w:sz w:val="28"/>
              </w:rPr>
            </w:pPr>
            <w:r>
              <w:rPr>
                <w:rFonts w:eastAsia="楷体_GB2312"/>
                <w:b/>
                <w:sz w:val="28"/>
              </w:rPr>
              <w:t>【信托名称】受托机构报告</w:t>
            </w:r>
          </w:p>
        </w:tc>
      </w:tr>
      <w:tr w14:paraId="51EC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3"/>
            <w:tcBorders>
              <w:top w:val="single" w:color="auto" w:sz="4" w:space="0"/>
              <w:left w:val="single" w:color="auto" w:sz="4" w:space="0"/>
              <w:bottom w:val="nil"/>
              <w:right w:val="single" w:color="auto" w:sz="4" w:space="0"/>
            </w:tcBorders>
          </w:tcPr>
          <w:p w14:paraId="3EE1DD58">
            <w:pPr>
              <w:widowControl/>
              <w:spacing w:line="360" w:lineRule="auto"/>
              <w:jc w:val="left"/>
              <w:rPr>
                <w:rFonts w:eastAsia="楷体_GB2312"/>
                <w:b/>
                <w:szCs w:val="21"/>
              </w:rPr>
            </w:pPr>
            <w:r>
              <w:rPr>
                <w:rFonts w:eastAsia="楷体_GB2312"/>
                <w:b/>
                <w:szCs w:val="21"/>
              </w:rPr>
              <w:t>六、本期资产支持证券内外部信用增级情况如下：</w:t>
            </w:r>
          </w:p>
          <w:p w14:paraId="79F5488A">
            <w:pPr>
              <w:widowControl/>
              <w:spacing w:line="360" w:lineRule="auto"/>
              <w:jc w:val="left"/>
              <w:rPr>
                <w:rFonts w:eastAsia="楷体_GB2312"/>
                <w:szCs w:val="21"/>
              </w:rPr>
            </w:pPr>
            <w:r>
              <w:rPr>
                <w:rFonts w:eastAsia="楷体_GB2312"/>
                <w:szCs w:val="21"/>
              </w:rPr>
              <w:t>本次交易通过设定优先A档</w:t>
            </w:r>
            <w:r>
              <w:rPr>
                <w:rFonts w:eastAsia="楷体_GB2312"/>
                <w:b/>
                <w:szCs w:val="21"/>
              </w:rPr>
              <w:t>/</w:t>
            </w:r>
            <w:r>
              <w:rPr>
                <w:rFonts w:eastAsia="楷体_GB2312"/>
                <w:szCs w:val="21"/>
              </w:rPr>
              <w:t>优先B档</w:t>
            </w:r>
            <w:r>
              <w:rPr>
                <w:rFonts w:eastAsia="楷体_GB2312"/>
                <w:b/>
                <w:szCs w:val="21"/>
              </w:rPr>
              <w:t>/</w:t>
            </w:r>
            <w:r>
              <w:rPr>
                <w:rFonts w:eastAsia="楷体_GB2312"/>
                <w:szCs w:val="21"/>
              </w:rPr>
              <w:t>次级资产支持证券的结构实现信用增级：</w:t>
            </w:r>
          </w:p>
        </w:tc>
      </w:tr>
      <w:tr w14:paraId="1172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3"/>
            <w:tcBorders>
              <w:top w:val="nil"/>
              <w:left w:val="single" w:color="auto" w:sz="4" w:space="0"/>
              <w:bottom w:val="nil"/>
              <w:right w:val="single" w:color="auto" w:sz="4" w:space="0"/>
            </w:tcBorders>
          </w:tcPr>
          <w:p w14:paraId="0557B976">
            <w:pPr>
              <w:widowControl/>
              <w:spacing w:line="360" w:lineRule="auto"/>
              <w:jc w:val="left"/>
              <w:rPr>
                <w:rFonts w:eastAsia="楷体_GB2312"/>
                <w:szCs w:val="21"/>
              </w:rPr>
            </w:pPr>
            <w:r>
              <w:rPr>
                <w:rFonts w:eastAsia="楷体_GB2312"/>
                <w:szCs w:val="21"/>
              </w:rPr>
              <w:t>资产支持证券分层结构情况</w:t>
            </w:r>
          </w:p>
        </w:tc>
      </w:tr>
      <w:tr w14:paraId="3B265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nil"/>
              <w:left w:val="single" w:color="auto" w:sz="4" w:space="0"/>
              <w:bottom w:val="single" w:color="auto" w:sz="4" w:space="0"/>
              <w:right w:val="nil"/>
            </w:tcBorders>
          </w:tcPr>
          <w:p w14:paraId="71815B08">
            <w:pPr>
              <w:widowControl/>
              <w:spacing w:line="360" w:lineRule="auto"/>
              <w:jc w:val="left"/>
              <w:rPr>
                <w:rFonts w:eastAsia="楷体_GB2312"/>
                <w:sz w:val="18"/>
              </w:rPr>
            </w:pPr>
          </w:p>
        </w:tc>
        <w:tc>
          <w:tcPr>
            <w:tcW w:w="3241" w:type="dxa"/>
            <w:tcBorders>
              <w:top w:val="nil"/>
              <w:left w:val="nil"/>
              <w:bottom w:val="single" w:color="auto" w:sz="4" w:space="0"/>
              <w:right w:val="nil"/>
            </w:tcBorders>
            <w:shd w:val="clear" w:color="auto" w:fill="C0C0C0"/>
          </w:tcPr>
          <w:p w14:paraId="0A8E24AA">
            <w:pPr>
              <w:widowControl/>
              <w:spacing w:line="360" w:lineRule="auto"/>
              <w:jc w:val="center"/>
              <w:rPr>
                <w:rFonts w:eastAsia="楷体_GB2312"/>
                <w:sz w:val="18"/>
                <w:lang w:eastAsia="zh-TW"/>
              </w:rPr>
            </w:pPr>
            <w:r>
              <w:rPr>
                <w:rFonts w:eastAsia="楷体_GB2312"/>
                <w:sz w:val="18"/>
                <w:lang w:eastAsia="zh-TW"/>
              </w:rPr>
              <w:t>本金期末余额</w:t>
            </w:r>
          </w:p>
        </w:tc>
        <w:tc>
          <w:tcPr>
            <w:tcW w:w="2652" w:type="dxa"/>
            <w:tcBorders>
              <w:top w:val="nil"/>
              <w:left w:val="nil"/>
              <w:bottom w:val="single" w:color="auto" w:sz="4" w:space="0"/>
              <w:right w:val="single" w:color="auto" w:sz="4" w:space="0"/>
            </w:tcBorders>
            <w:shd w:val="clear" w:color="auto" w:fill="C0C0C0"/>
          </w:tcPr>
          <w:p w14:paraId="0A2150D2">
            <w:pPr>
              <w:widowControl/>
              <w:spacing w:line="360" w:lineRule="auto"/>
              <w:jc w:val="left"/>
              <w:rPr>
                <w:rFonts w:eastAsia="楷体_GB2312"/>
                <w:sz w:val="18"/>
              </w:rPr>
            </w:pPr>
            <w:r>
              <w:rPr>
                <w:rFonts w:eastAsia="楷体_GB2312"/>
                <w:sz w:val="18"/>
              </w:rPr>
              <w:t>占本金总金额的百分比（%）</w:t>
            </w:r>
          </w:p>
        </w:tc>
      </w:tr>
      <w:tr w14:paraId="0FEB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627" w:type="dxa"/>
            <w:tcBorders>
              <w:top w:val="single" w:color="auto" w:sz="4" w:space="0"/>
              <w:left w:val="single" w:color="auto" w:sz="4" w:space="0"/>
              <w:right w:val="single" w:color="auto" w:sz="4" w:space="0"/>
            </w:tcBorders>
          </w:tcPr>
          <w:p w14:paraId="48141A3E">
            <w:pPr>
              <w:widowControl/>
              <w:spacing w:line="360" w:lineRule="auto"/>
              <w:jc w:val="left"/>
              <w:rPr>
                <w:rFonts w:eastAsia="楷体_GB2312"/>
                <w:sz w:val="18"/>
                <w:lang w:eastAsia="zh-TW"/>
              </w:rPr>
            </w:pPr>
            <w:r>
              <w:rPr>
                <w:rFonts w:eastAsia="楷体_GB2312"/>
                <w:sz w:val="18"/>
                <w:lang w:eastAsia="zh-TW"/>
              </w:rPr>
              <w:t>优先</w:t>
            </w:r>
            <w:r>
              <w:rPr>
                <w:rFonts w:eastAsia="楷体_GB2312"/>
                <w:sz w:val="18"/>
              </w:rPr>
              <w:t>A档</w:t>
            </w:r>
          </w:p>
        </w:tc>
        <w:tc>
          <w:tcPr>
            <w:tcW w:w="3241" w:type="dxa"/>
            <w:tcBorders>
              <w:top w:val="single" w:color="auto" w:sz="4" w:space="0"/>
              <w:left w:val="single" w:color="auto" w:sz="4" w:space="0"/>
              <w:bottom w:val="single" w:color="auto" w:sz="4" w:space="0"/>
              <w:right w:val="single" w:color="auto" w:sz="4" w:space="0"/>
            </w:tcBorders>
          </w:tcPr>
          <w:p w14:paraId="463F8BF3">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0EE8B170">
            <w:pPr>
              <w:widowControl/>
              <w:spacing w:line="360" w:lineRule="auto"/>
              <w:jc w:val="left"/>
              <w:rPr>
                <w:rFonts w:eastAsia="楷体_GB2312"/>
                <w:sz w:val="18"/>
                <w:szCs w:val="18"/>
                <w:lang w:eastAsia="zh-TW"/>
              </w:rPr>
            </w:pPr>
          </w:p>
        </w:tc>
      </w:tr>
      <w:tr w14:paraId="1840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627" w:type="dxa"/>
            <w:tcBorders>
              <w:left w:val="single" w:color="auto" w:sz="4" w:space="0"/>
              <w:bottom w:val="single" w:color="auto" w:sz="4" w:space="0"/>
              <w:right w:val="single" w:color="auto" w:sz="4" w:space="0"/>
            </w:tcBorders>
            <w:vAlign w:val="center"/>
          </w:tcPr>
          <w:p w14:paraId="631B473B">
            <w:pPr>
              <w:widowControl/>
              <w:spacing w:line="360" w:lineRule="auto"/>
              <w:jc w:val="left"/>
              <w:rPr>
                <w:rFonts w:eastAsia="楷体_GB2312"/>
                <w:sz w:val="18"/>
              </w:rPr>
            </w:pPr>
            <w:r>
              <w:rPr>
                <w:rFonts w:eastAsia="楷体_GB2312"/>
                <w:sz w:val="18"/>
                <w:lang w:eastAsia="zh-TW"/>
              </w:rPr>
              <w:t>优先</w:t>
            </w:r>
            <w:r>
              <w:rPr>
                <w:rFonts w:eastAsia="楷体_GB2312"/>
                <w:sz w:val="18"/>
              </w:rPr>
              <w:t>B档</w:t>
            </w:r>
          </w:p>
        </w:tc>
        <w:tc>
          <w:tcPr>
            <w:tcW w:w="3241" w:type="dxa"/>
            <w:tcBorders>
              <w:top w:val="single" w:color="auto" w:sz="4" w:space="0"/>
              <w:left w:val="single" w:color="auto" w:sz="4" w:space="0"/>
              <w:bottom w:val="single" w:color="auto" w:sz="4" w:space="0"/>
              <w:right w:val="single" w:color="auto" w:sz="4" w:space="0"/>
            </w:tcBorders>
          </w:tcPr>
          <w:p w14:paraId="28888B56">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1956211C">
            <w:pPr>
              <w:widowControl/>
              <w:spacing w:line="360" w:lineRule="auto"/>
              <w:jc w:val="left"/>
              <w:rPr>
                <w:rFonts w:eastAsia="楷体_GB2312"/>
                <w:sz w:val="18"/>
                <w:szCs w:val="18"/>
                <w:lang w:eastAsia="zh-TW"/>
              </w:rPr>
            </w:pPr>
          </w:p>
        </w:tc>
      </w:tr>
      <w:tr w14:paraId="01C8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single" w:color="auto" w:sz="4" w:space="0"/>
              <w:left w:val="single" w:color="auto" w:sz="4" w:space="0"/>
              <w:bottom w:val="single" w:color="auto" w:sz="4" w:space="0"/>
              <w:right w:val="single" w:color="auto" w:sz="4" w:space="0"/>
            </w:tcBorders>
          </w:tcPr>
          <w:p w14:paraId="0E8B51BA">
            <w:pPr>
              <w:widowControl/>
              <w:spacing w:line="360" w:lineRule="auto"/>
              <w:jc w:val="left"/>
              <w:rPr>
                <w:rFonts w:eastAsia="楷体_GB2312"/>
                <w:sz w:val="18"/>
                <w:lang w:eastAsia="zh-TW"/>
              </w:rPr>
            </w:pPr>
            <w:r>
              <w:rPr>
                <w:rFonts w:eastAsia="楷体_GB2312"/>
                <w:sz w:val="18"/>
              </w:rPr>
              <w:t>次级</w:t>
            </w:r>
          </w:p>
        </w:tc>
        <w:tc>
          <w:tcPr>
            <w:tcW w:w="3241" w:type="dxa"/>
            <w:tcBorders>
              <w:top w:val="single" w:color="auto" w:sz="4" w:space="0"/>
              <w:left w:val="single" w:color="auto" w:sz="4" w:space="0"/>
              <w:bottom w:val="single" w:color="auto" w:sz="4" w:space="0"/>
              <w:right w:val="single" w:color="auto" w:sz="4" w:space="0"/>
            </w:tcBorders>
          </w:tcPr>
          <w:p w14:paraId="11CB0704">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34D8F201">
            <w:pPr>
              <w:widowControl/>
              <w:spacing w:line="360" w:lineRule="auto"/>
              <w:jc w:val="left"/>
              <w:rPr>
                <w:rFonts w:eastAsia="楷体_GB2312"/>
                <w:sz w:val="18"/>
                <w:lang w:eastAsia="zh-TW"/>
              </w:rPr>
            </w:pPr>
          </w:p>
        </w:tc>
      </w:tr>
      <w:tr w14:paraId="28E81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single" w:color="auto" w:sz="4" w:space="0"/>
              <w:left w:val="single" w:color="auto" w:sz="4" w:space="0"/>
              <w:bottom w:val="single" w:color="auto" w:sz="4" w:space="0"/>
              <w:right w:val="single" w:color="auto" w:sz="4" w:space="0"/>
            </w:tcBorders>
          </w:tcPr>
          <w:p w14:paraId="13CABEB2">
            <w:pPr>
              <w:widowControl/>
              <w:tabs>
                <w:tab w:val="left" w:pos="555"/>
              </w:tabs>
              <w:spacing w:line="360" w:lineRule="auto"/>
              <w:jc w:val="left"/>
              <w:rPr>
                <w:rFonts w:eastAsia="楷体_GB2312"/>
                <w:sz w:val="18"/>
                <w:lang w:eastAsia="zh-TW"/>
              </w:rPr>
            </w:pPr>
            <w:r>
              <w:rPr>
                <w:rFonts w:eastAsia="楷体_GB2312"/>
                <w:sz w:val="18"/>
                <w:lang w:eastAsia="zh-TW"/>
              </w:rPr>
              <w:t>合计</w:t>
            </w:r>
          </w:p>
        </w:tc>
        <w:tc>
          <w:tcPr>
            <w:tcW w:w="3241" w:type="dxa"/>
            <w:tcBorders>
              <w:top w:val="single" w:color="auto" w:sz="4" w:space="0"/>
              <w:left w:val="single" w:color="auto" w:sz="4" w:space="0"/>
              <w:bottom w:val="single" w:color="auto" w:sz="4" w:space="0"/>
              <w:right w:val="single" w:color="auto" w:sz="4" w:space="0"/>
            </w:tcBorders>
          </w:tcPr>
          <w:p w14:paraId="640269D0">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4BA2356A">
            <w:pPr>
              <w:widowControl/>
              <w:spacing w:line="360" w:lineRule="auto"/>
              <w:jc w:val="left"/>
              <w:rPr>
                <w:rFonts w:eastAsia="楷体_GB2312"/>
                <w:sz w:val="18"/>
                <w:lang w:eastAsia="zh-TW"/>
              </w:rPr>
            </w:pPr>
          </w:p>
        </w:tc>
      </w:tr>
      <w:tr w14:paraId="055B4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627" w:type="dxa"/>
            <w:tcBorders>
              <w:top w:val="single" w:color="auto" w:sz="4" w:space="0"/>
              <w:left w:val="single" w:color="auto" w:sz="4" w:space="0"/>
              <w:bottom w:val="single" w:color="auto" w:sz="4" w:space="0"/>
              <w:right w:val="single" w:color="auto" w:sz="4" w:space="0"/>
            </w:tcBorders>
          </w:tcPr>
          <w:p w14:paraId="69BDB0AC">
            <w:pPr>
              <w:widowControl/>
              <w:spacing w:line="360" w:lineRule="auto"/>
              <w:jc w:val="left"/>
              <w:rPr>
                <w:rFonts w:eastAsia="楷体_GB2312"/>
                <w:sz w:val="18"/>
                <w:lang w:eastAsia="zh-TW"/>
              </w:rPr>
            </w:pPr>
          </w:p>
        </w:tc>
        <w:tc>
          <w:tcPr>
            <w:tcW w:w="3241" w:type="dxa"/>
            <w:tcBorders>
              <w:top w:val="single" w:color="auto" w:sz="4" w:space="0"/>
              <w:left w:val="single" w:color="auto" w:sz="4" w:space="0"/>
              <w:bottom w:val="single" w:color="auto" w:sz="4" w:space="0"/>
              <w:right w:val="single" w:color="auto" w:sz="4" w:space="0"/>
            </w:tcBorders>
          </w:tcPr>
          <w:p w14:paraId="2D2F956C">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15840908">
            <w:pPr>
              <w:widowControl/>
              <w:spacing w:line="360" w:lineRule="auto"/>
              <w:jc w:val="left"/>
              <w:rPr>
                <w:rFonts w:eastAsia="楷体_GB2312"/>
                <w:sz w:val="18"/>
                <w:lang w:eastAsia="zh-TW"/>
              </w:rPr>
            </w:pPr>
          </w:p>
        </w:tc>
      </w:tr>
    </w:tbl>
    <w:p w14:paraId="198A3303">
      <w:pPr>
        <w:rPr>
          <w:rFonts w:eastAsia="楷体_GB2312"/>
        </w:rPr>
      </w:pPr>
    </w:p>
    <w:p w14:paraId="65D3BC8D">
      <w:pPr>
        <w:widowControl/>
        <w:jc w:val="left"/>
        <w:rPr>
          <w:rFonts w:eastAsia="楷体_GB2312"/>
        </w:rPr>
      </w:pPr>
      <w:r>
        <w:rPr>
          <w:rFonts w:eastAsia="楷体_GB2312"/>
        </w:rPr>
        <w:br w:type="page"/>
      </w:r>
    </w:p>
    <w:tbl>
      <w:tblPr>
        <w:tblStyle w:val="27"/>
        <w:tblW w:w="879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30"/>
        <w:gridCol w:w="1276"/>
        <w:gridCol w:w="4684"/>
      </w:tblGrid>
      <w:tr w14:paraId="0B5D9A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0" w:type="dxa"/>
            <w:gridSpan w:val="3"/>
            <w:tcBorders>
              <w:top w:val="single" w:color="auto" w:sz="4" w:space="0"/>
              <w:left w:val="single" w:color="auto" w:sz="4" w:space="0"/>
              <w:bottom w:val="single" w:color="auto" w:sz="4" w:space="0"/>
              <w:right w:val="single" w:color="auto" w:sz="4" w:space="0"/>
            </w:tcBorders>
          </w:tcPr>
          <w:p w14:paraId="06F54B7C">
            <w:pPr>
              <w:widowControl/>
              <w:spacing w:line="360" w:lineRule="auto"/>
              <w:jc w:val="center"/>
              <w:rPr>
                <w:rFonts w:eastAsia="楷体_GB2312"/>
                <w:b/>
                <w:sz w:val="28"/>
              </w:rPr>
            </w:pPr>
            <w:r>
              <w:rPr>
                <w:rFonts w:eastAsia="楷体_GB2312"/>
                <w:b/>
                <w:sz w:val="28"/>
              </w:rPr>
              <w:t>【信托名称】受托机构报告</w:t>
            </w:r>
          </w:p>
        </w:tc>
      </w:tr>
      <w:tr w14:paraId="2D429A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0" w:type="dxa"/>
            <w:gridSpan w:val="3"/>
            <w:tcBorders>
              <w:top w:val="single" w:color="auto" w:sz="4" w:space="0"/>
              <w:left w:val="single" w:color="auto" w:sz="4" w:space="0"/>
              <w:bottom w:val="single" w:color="auto" w:sz="4" w:space="0"/>
              <w:right w:val="single" w:color="auto" w:sz="4" w:space="0"/>
            </w:tcBorders>
          </w:tcPr>
          <w:p w14:paraId="210A8FFD">
            <w:pPr>
              <w:widowControl/>
              <w:spacing w:line="360" w:lineRule="auto"/>
              <w:jc w:val="left"/>
              <w:rPr>
                <w:rFonts w:eastAsia="楷体_GB2312"/>
                <w:b/>
                <w:sz w:val="18"/>
              </w:rPr>
            </w:pPr>
            <w:r>
              <w:rPr>
                <w:rFonts w:eastAsia="楷体_GB2312"/>
                <w:b/>
                <w:sz w:val="24"/>
              </w:rPr>
              <w:t>七、对证券化信托财产和信托事务管理产生重大影响的事项</w:t>
            </w:r>
          </w:p>
        </w:tc>
      </w:tr>
      <w:tr w14:paraId="019CAC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6F3C6587">
            <w:pPr>
              <w:widowControl/>
              <w:spacing w:line="360" w:lineRule="auto"/>
              <w:jc w:val="left"/>
              <w:rPr>
                <w:rFonts w:eastAsia="楷体_GB2312"/>
                <w:b/>
                <w:sz w:val="24"/>
                <w:lang w:eastAsia="zh-TW"/>
              </w:rPr>
            </w:pPr>
            <w:r>
              <w:rPr>
                <w:rFonts w:eastAsia="楷体_GB2312"/>
                <w:b/>
                <w:sz w:val="24"/>
                <w:lang w:eastAsia="zh-TW"/>
              </w:rPr>
              <w:t>事项</w:t>
            </w:r>
          </w:p>
        </w:tc>
        <w:tc>
          <w:tcPr>
            <w:tcW w:w="1276" w:type="dxa"/>
            <w:tcBorders>
              <w:top w:val="single" w:color="auto" w:sz="4" w:space="0"/>
              <w:left w:val="single" w:color="auto" w:sz="4" w:space="0"/>
              <w:bottom w:val="single" w:color="auto" w:sz="4" w:space="0"/>
              <w:right w:val="single" w:color="auto" w:sz="4" w:space="0"/>
            </w:tcBorders>
          </w:tcPr>
          <w:p w14:paraId="7B0FEA4B">
            <w:pPr>
              <w:widowControl/>
              <w:spacing w:line="360" w:lineRule="auto"/>
              <w:jc w:val="center"/>
              <w:rPr>
                <w:rFonts w:eastAsia="楷体_GB2312"/>
                <w:b/>
                <w:sz w:val="24"/>
                <w:lang w:eastAsia="zh-TW"/>
              </w:rPr>
            </w:pPr>
            <w:r>
              <w:rPr>
                <w:rFonts w:eastAsia="楷体_GB2312"/>
                <w:b/>
                <w:sz w:val="24"/>
                <w:lang w:eastAsia="zh-TW"/>
              </w:rPr>
              <w:t>是否发生</w:t>
            </w:r>
          </w:p>
        </w:tc>
        <w:tc>
          <w:tcPr>
            <w:tcW w:w="4684" w:type="dxa"/>
            <w:tcBorders>
              <w:top w:val="single" w:color="auto" w:sz="4" w:space="0"/>
              <w:left w:val="single" w:color="auto" w:sz="4" w:space="0"/>
              <w:bottom w:val="single" w:color="auto" w:sz="4" w:space="0"/>
              <w:right w:val="single" w:color="auto" w:sz="4" w:space="0"/>
            </w:tcBorders>
          </w:tcPr>
          <w:p w14:paraId="2C9C41FF">
            <w:pPr>
              <w:widowControl/>
              <w:spacing w:line="360" w:lineRule="auto"/>
              <w:jc w:val="center"/>
              <w:rPr>
                <w:rFonts w:eastAsia="楷体_GB2312"/>
                <w:b/>
                <w:sz w:val="24"/>
                <w:lang w:eastAsia="zh-TW"/>
              </w:rPr>
            </w:pPr>
            <w:r>
              <w:rPr>
                <w:rFonts w:eastAsia="楷体_GB2312"/>
                <w:b/>
                <w:sz w:val="24"/>
                <w:lang w:eastAsia="zh-TW"/>
              </w:rPr>
              <w:t>情况简述</w:t>
            </w:r>
          </w:p>
        </w:tc>
      </w:tr>
      <w:tr w14:paraId="61B86C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72843551">
            <w:pPr>
              <w:widowControl/>
              <w:spacing w:line="360" w:lineRule="auto"/>
              <w:jc w:val="left"/>
              <w:rPr>
                <w:rFonts w:eastAsia="楷体_GB2312"/>
                <w:sz w:val="18"/>
                <w:lang w:eastAsia="zh-TW"/>
              </w:rPr>
            </w:pPr>
            <w:r>
              <w:rPr>
                <w:rFonts w:eastAsia="楷体_GB2312"/>
                <w:lang w:eastAsia="zh-TW"/>
              </w:rPr>
              <w:t>1.加速清偿事件</w:t>
            </w:r>
          </w:p>
        </w:tc>
        <w:tc>
          <w:tcPr>
            <w:tcW w:w="1276" w:type="dxa"/>
            <w:tcBorders>
              <w:top w:val="single" w:color="auto" w:sz="4" w:space="0"/>
              <w:left w:val="single" w:color="auto" w:sz="4" w:space="0"/>
              <w:bottom w:val="single" w:color="auto" w:sz="4" w:space="0"/>
              <w:right w:val="single" w:color="auto" w:sz="4" w:space="0"/>
            </w:tcBorders>
          </w:tcPr>
          <w:p w14:paraId="54FE61A2">
            <w:pPr>
              <w:widowControl/>
              <w:spacing w:line="360" w:lineRule="auto"/>
              <w:jc w:val="center"/>
              <w:rPr>
                <w:rFonts w:eastAsia="楷体_GB2312"/>
                <w:sz w:val="18"/>
                <w:lang w:eastAsia="zh-TW"/>
              </w:rPr>
            </w:pPr>
          </w:p>
        </w:tc>
        <w:tc>
          <w:tcPr>
            <w:tcW w:w="4684" w:type="dxa"/>
            <w:tcBorders>
              <w:top w:val="single" w:color="auto" w:sz="4" w:space="0"/>
              <w:left w:val="single" w:color="auto" w:sz="4" w:space="0"/>
              <w:bottom w:val="single" w:color="auto" w:sz="4" w:space="0"/>
              <w:right w:val="single" w:color="auto" w:sz="4" w:space="0"/>
            </w:tcBorders>
          </w:tcPr>
          <w:p w14:paraId="3DF456F3">
            <w:pPr>
              <w:widowControl/>
              <w:spacing w:line="360" w:lineRule="auto"/>
              <w:jc w:val="center"/>
              <w:rPr>
                <w:rFonts w:eastAsia="楷体_GB2312"/>
                <w:sz w:val="18"/>
                <w:lang w:eastAsia="zh-TW"/>
              </w:rPr>
            </w:pPr>
          </w:p>
        </w:tc>
      </w:tr>
      <w:tr w14:paraId="58C4E8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7B2B8FAF">
            <w:pPr>
              <w:widowControl/>
              <w:spacing w:line="360" w:lineRule="auto"/>
              <w:jc w:val="left"/>
              <w:rPr>
                <w:rFonts w:eastAsia="楷体_GB2312"/>
                <w:lang w:eastAsia="zh-TW"/>
              </w:rPr>
            </w:pPr>
            <w:r>
              <w:rPr>
                <w:rFonts w:eastAsia="楷体_GB2312"/>
                <w:lang w:eastAsia="zh-TW"/>
              </w:rPr>
              <w:t>2.违约事件</w:t>
            </w:r>
          </w:p>
        </w:tc>
        <w:tc>
          <w:tcPr>
            <w:tcW w:w="1276" w:type="dxa"/>
            <w:tcBorders>
              <w:top w:val="single" w:color="auto" w:sz="4" w:space="0"/>
              <w:left w:val="single" w:color="auto" w:sz="4" w:space="0"/>
              <w:bottom w:val="single" w:color="auto" w:sz="4" w:space="0"/>
              <w:right w:val="single" w:color="auto" w:sz="4" w:space="0"/>
            </w:tcBorders>
          </w:tcPr>
          <w:p w14:paraId="513425CF">
            <w:pPr>
              <w:widowControl/>
              <w:spacing w:line="360" w:lineRule="auto"/>
              <w:jc w:val="center"/>
              <w:rPr>
                <w:rFonts w:eastAsia="楷体_GB2312"/>
                <w:sz w:val="18"/>
                <w:lang w:eastAsia="zh-TW"/>
              </w:rPr>
            </w:pPr>
          </w:p>
        </w:tc>
        <w:tc>
          <w:tcPr>
            <w:tcW w:w="4684" w:type="dxa"/>
            <w:tcBorders>
              <w:top w:val="single" w:color="auto" w:sz="4" w:space="0"/>
              <w:left w:val="single" w:color="auto" w:sz="4" w:space="0"/>
              <w:bottom w:val="single" w:color="auto" w:sz="4" w:space="0"/>
              <w:right w:val="single" w:color="auto" w:sz="4" w:space="0"/>
            </w:tcBorders>
          </w:tcPr>
          <w:p w14:paraId="589B4C24">
            <w:pPr>
              <w:widowControl/>
              <w:spacing w:line="360" w:lineRule="auto"/>
              <w:jc w:val="center"/>
              <w:rPr>
                <w:rFonts w:eastAsia="楷体_GB2312"/>
                <w:sz w:val="18"/>
                <w:lang w:eastAsia="zh-TW"/>
              </w:rPr>
            </w:pPr>
          </w:p>
        </w:tc>
      </w:tr>
      <w:tr w14:paraId="2FF2CF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1506446A">
            <w:pPr>
              <w:widowControl/>
              <w:spacing w:line="360" w:lineRule="auto"/>
              <w:jc w:val="left"/>
              <w:rPr>
                <w:rFonts w:eastAsia="楷体_GB2312"/>
                <w:lang w:eastAsia="zh-TW"/>
              </w:rPr>
            </w:pPr>
            <w:r>
              <w:rPr>
                <w:rFonts w:eastAsia="楷体_GB2312"/>
                <w:lang w:eastAsia="zh-TW"/>
              </w:rPr>
              <w:t>3.权利完善事件</w:t>
            </w:r>
            <w:r>
              <w:rPr>
                <w:rFonts w:hint="eastAsia" w:eastAsia="楷体_GB2312"/>
              </w:rPr>
              <w:t>/</w:t>
            </w:r>
            <w:r>
              <w:rPr>
                <w:rFonts w:eastAsia="楷体_GB2312"/>
                <w:lang w:eastAsia="zh-TW"/>
              </w:rPr>
              <w:t>个别通知事件</w:t>
            </w:r>
          </w:p>
        </w:tc>
        <w:tc>
          <w:tcPr>
            <w:tcW w:w="1276" w:type="dxa"/>
            <w:tcBorders>
              <w:top w:val="single" w:color="auto" w:sz="4" w:space="0"/>
              <w:left w:val="single" w:color="auto" w:sz="4" w:space="0"/>
              <w:bottom w:val="single" w:color="auto" w:sz="4" w:space="0"/>
              <w:right w:val="single" w:color="auto" w:sz="4" w:space="0"/>
            </w:tcBorders>
          </w:tcPr>
          <w:p w14:paraId="2C7B5141">
            <w:pPr>
              <w:widowControl/>
              <w:spacing w:line="360" w:lineRule="auto"/>
              <w:jc w:val="center"/>
              <w:rPr>
                <w:rFonts w:eastAsia="楷体_GB2312"/>
                <w:sz w:val="18"/>
                <w:lang w:eastAsia="zh-TW"/>
              </w:rPr>
            </w:pPr>
          </w:p>
        </w:tc>
        <w:tc>
          <w:tcPr>
            <w:tcW w:w="4684" w:type="dxa"/>
            <w:tcBorders>
              <w:top w:val="single" w:color="auto" w:sz="4" w:space="0"/>
              <w:left w:val="single" w:color="auto" w:sz="4" w:space="0"/>
              <w:bottom w:val="single" w:color="auto" w:sz="4" w:space="0"/>
              <w:right w:val="single" w:color="auto" w:sz="4" w:space="0"/>
            </w:tcBorders>
          </w:tcPr>
          <w:p w14:paraId="11E8EDAD">
            <w:pPr>
              <w:widowControl/>
              <w:spacing w:line="360" w:lineRule="auto"/>
              <w:jc w:val="center"/>
              <w:rPr>
                <w:rFonts w:eastAsia="楷体_GB2312"/>
                <w:sz w:val="18"/>
                <w:lang w:eastAsia="zh-TW"/>
              </w:rPr>
            </w:pPr>
          </w:p>
        </w:tc>
      </w:tr>
      <w:tr w14:paraId="152468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56D5687D">
            <w:pPr>
              <w:widowControl/>
              <w:spacing w:line="360" w:lineRule="auto"/>
              <w:jc w:val="left"/>
              <w:rPr>
                <w:rFonts w:eastAsia="楷体_GB2312"/>
                <w:sz w:val="18"/>
              </w:rPr>
            </w:pPr>
            <w:r>
              <w:rPr>
                <w:rFonts w:hint="eastAsia" w:eastAsia="楷体_GB2312"/>
              </w:rPr>
              <w:t>4</w:t>
            </w:r>
            <w:r>
              <w:rPr>
                <w:rFonts w:eastAsia="楷体_GB2312"/>
                <w:lang w:eastAsia="zh-TW"/>
              </w:rPr>
              <w:t>.赎回</w:t>
            </w:r>
          </w:p>
        </w:tc>
        <w:tc>
          <w:tcPr>
            <w:tcW w:w="1276" w:type="dxa"/>
            <w:tcBorders>
              <w:top w:val="single" w:color="auto" w:sz="4" w:space="0"/>
              <w:left w:val="single" w:color="auto" w:sz="4" w:space="0"/>
              <w:bottom w:val="single" w:color="auto" w:sz="4" w:space="0"/>
              <w:right w:val="single" w:color="auto" w:sz="4" w:space="0"/>
            </w:tcBorders>
          </w:tcPr>
          <w:p w14:paraId="54166830">
            <w:pPr>
              <w:widowControl/>
              <w:spacing w:line="360" w:lineRule="auto"/>
              <w:jc w:val="center"/>
              <w:rPr>
                <w:rFonts w:eastAsia="楷体_GB2312"/>
                <w:sz w:val="18"/>
                <w:lang w:eastAsia="zh-TW"/>
              </w:rPr>
            </w:pPr>
          </w:p>
        </w:tc>
        <w:tc>
          <w:tcPr>
            <w:tcW w:w="4684" w:type="dxa"/>
            <w:tcBorders>
              <w:top w:val="single" w:color="auto" w:sz="4" w:space="0"/>
              <w:left w:val="single" w:color="auto" w:sz="4" w:space="0"/>
              <w:bottom w:val="single" w:color="auto" w:sz="4" w:space="0"/>
              <w:right w:val="single" w:color="auto" w:sz="4" w:space="0"/>
            </w:tcBorders>
          </w:tcPr>
          <w:p w14:paraId="7AA7DF09">
            <w:pPr>
              <w:widowControl/>
              <w:spacing w:line="360" w:lineRule="auto"/>
              <w:jc w:val="center"/>
              <w:rPr>
                <w:rFonts w:eastAsia="楷体_GB2312"/>
                <w:sz w:val="18"/>
                <w:lang w:eastAsia="zh-TW"/>
              </w:rPr>
            </w:pPr>
          </w:p>
        </w:tc>
      </w:tr>
      <w:tr w14:paraId="35280A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30BCCB88">
            <w:pPr>
              <w:widowControl/>
              <w:spacing w:line="360" w:lineRule="auto"/>
              <w:jc w:val="left"/>
              <w:rPr>
                <w:rFonts w:eastAsia="楷体_GB2312"/>
              </w:rPr>
            </w:pPr>
            <w:r>
              <w:rPr>
                <w:rFonts w:hint="eastAsia" w:eastAsia="楷体_GB2312"/>
              </w:rPr>
              <w:t>5</w:t>
            </w:r>
            <w:r>
              <w:rPr>
                <w:rFonts w:eastAsia="楷体_GB2312"/>
                <w:lang w:eastAsia="zh-TW"/>
              </w:rPr>
              <w:t>.清仓回购</w:t>
            </w:r>
          </w:p>
        </w:tc>
        <w:tc>
          <w:tcPr>
            <w:tcW w:w="1276" w:type="dxa"/>
            <w:tcBorders>
              <w:top w:val="single" w:color="auto" w:sz="4" w:space="0"/>
              <w:left w:val="single" w:color="auto" w:sz="4" w:space="0"/>
              <w:bottom w:val="single" w:color="auto" w:sz="4" w:space="0"/>
              <w:right w:val="single" w:color="auto" w:sz="4" w:space="0"/>
            </w:tcBorders>
          </w:tcPr>
          <w:p w14:paraId="55D8E3B1">
            <w:pPr>
              <w:widowControl/>
              <w:spacing w:line="360" w:lineRule="auto"/>
              <w:jc w:val="center"/>
              <w:rPr>
                <w:rFonts w:eastAsia="楷体_GB2312"/>
                <w:sz w:val="18"/>
                <w:lang w:eastAsia="zh-TW"/>
              </w:rPr>
            </w:pPr>
          </w:p>
        </w:tc>
        <w:tc>
          <w:tcPr>
            <w:tcW w:w="4684" w:type="dxa"/>
            <w:tcBorders>
              <w:top w:val="single" w:color="auto" w:sz="4" w:space="0"/>
              <w:left w:val="single" w:color="auto" w:sz="4" w:space="0"/>
              <w:bottom w:val="single" w:color="auto" w:sz="4" w:space="0"/>
              <w:right w:val="single" w:color="auto" w:sz="4" w:space="0"/>
            </w:tcBorders>
          </w:tcPr>
          <w:p w14:paraId="7CA3DB7B">
            <w:pPr>
              <w:widowControl/>
              <w:spacing w:line="360" w:lineRule="auto"/>
              <w:jc w:val="center"/>
              <w:rPr>
                <w:rFonts w:eastAsia="楷体_GB2312"/>
                <w:sz w:val="18"/>
                <w:lang w:eastAsia="zh-TW"/>
              </w:rPr>
            </w:pPr>
          </w:p>
        </w:tc>
      </w:tr>
      <w:tr w14:paraId="58ABB9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5C1E09CC">
            <w:pPr>
              <w:widowControl/>
              <w:spacing w:line="360" w:lineRule="auto"/>
              <w:jc w:val="left"/>
              <w:rPr>
                <w:rFonts w:eastAsia="楷体_GB2312"/>
                <w:lang w:eastAsia="zh-TW"/>
              </w:rPr>
            </w:pPr>
            <w:r>
              <w:rPr>
                <w:rFonts w:hint="eastAsia" w:eastAsia="楷体_GB2312"/>
              </w:rPr>
              <w:t>6</w:t>
            </w:r>
            <w:r>
              <w:rPr>
                <w:rFonts w:eastAsia="楷体_GB2312"/>
                <w:lang w:eastAsia="zh-TW"/>
              </w:rPr>
              <w:t>.丧失清偿能力事件</w:t>
            </w:r>
          </w:p>
        </w:tc>
        <w:tc>
          <w:tcPr>
            <w:tcW w:w="1276" w:type="dxa"/>
            <w:tcBorders>
              <w:top w:val="single" w:color="auto" w:sz="4" w:space="0"/>
              <w:left w:val="single" w:color="auto" w:sz="4" w:space="0"/>
              <w:bottom w:val="single" w:color="auto" w:sz="4" w:space="0"/>
              <w:right w:val="single" w:color="auto" w:sz="4" w:space="0"/>
            </w:tcBorders>
          </w:tcPr>
          <w:p w14:paraId="076ABB11">
            <w:pPr>
              <w:widowControl/>
              <w:spacing w:line="360" w:lineRule="auto"/>
              <w:jc w:val="center"/>
              <w:rPr>
                <w:rFonts w:eastAsia="楷体_GB2312"/>
                <w:sz w:val="18"/>
                <w:lang w:eastAsia="zh-TW"/>
              </w:rPr>
            </w:pPr>
          </w:p>
        </w:tc>
        <w:tc>
          <w:tcPr>
            <w:tcW w:w="4684" w:type="dxa"/>
            <w:tcBorders>
              <w:top w:val="single" w:color="auto" w:sz="4" w:space="0"/>
              <w:left w:val="single" w:color="auto" w:sz="4" w:space="0"/>
              <w:bottom w:val="single" w:color="auto" w:sz="4" w:space="0"/>
              <w:right w:val="single" w:color="auto" w:sz="4" w:space="0"/>
            </w:tcBorders>
          </w:tcPr>
          <w:p w14:paraId="24973A7E">
            <w:pPr>
              <w:widowControl/>
              <w:spacing w:line="360" w:lineRule="auto"/>
              <w:jc w:val="center"/>
              <w:rPr>
                <w:rFonts w:eastAsia="楷体_GB2312"/>
                <w:sz w:val="18"/>
                <w:lang w:eastAsia="zh-TW"/>
              </w:rPr>
            </w:pPr>
          </w:p>
        </w:tc>
      </w:tr>
      <w:tr w14:paraId="25594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5C12BED4">
            <w:pPr>
              <w:widowControl/>
              <w:spacing w:line="360" w:lineRule="auto"/>
              <w:jc w:val="left"/>
              <w:rPr>
                <w:rFonts w:eastAsia="楷体_GB2312"/>
                <w:lang w:eastAsia="zh-TW"/>
              </w:rPr>
            </w:pPr>
            <w:r>
              <w:rPr>
                <w:rFonts w:hint="eastAsia" w:eastAsia="楷体_GB2312"/>
              </w:rPr>
              <w:t>7</w:t>
            </w:r>
            <w:r>
              <w:rPr>
                <w:rFonts w:eastAsia="楷体_GB2312"/>
                <w:lang w:eastAsia="zh-TW"/>
              </w:rPr>
              <w:t>.受托机构终止事件</w:t>
            </w:r>
          </w:p>
        </w:tc>
        <w:tc>
          <w:tcPr>
            <w:tcW w:w="1276" w:type="dxa"/>
            <w:tcBorders>
              <w:top w:val="single" w:color="auto" w:sz="4" w:space="0"/>
              <w:left w:val="single" w:color="auto" w:sz="4" w:space="0"/>
              <w:bottom w:val="single" w:color="auto" w:sz="4" w:space="0"/>
              <w:right w:val="single" w:color="auto" w:sz="4" w:space="0"/>
            </w:tcBorders>
          </w:tcPr>
          <w:p w14:paraId="562FADD8">
            <w:pPr>
              <w:widowControl/>
              <w:spacing w:line="360" w:lineRule="auto"/>
              <w:jc w:val="center"/>
              <w:rPr>
                <w:rFonts w:eastAsia="楷体_GB2312"/>
                <w:sz w:val="18"/>
                <w:lang w:eastAsia="zh-TW"/>
              </w:rPr>
            </w:pPr>
          </w:p>
        </w:tc>
        <w:tc>
          <w:tcPr>
            <w:tcW w:w="4684" w:type="dxa"/>
            <w:tcBorders>
              <w:top w:val="single" w:color="auto" w:sz="4" w:space="0"/>
              <w:left w:val="single" w:color="auto" w:sz="4" w:space="0"/>
              <w:bottom w:val="single" w:color="auto" w:sz="4" w:space="0"/>
              <w:right w:val="single" w:color="auto" w:sz="4" w:space="0"/>
            </w:tcBorders>
          </w:tcPr>
          <w:p w14:paraId="7E2D27B5">
            <w:pPr>
              <w:widowControl/>
              <w:spacing w:line="360" w:lineRule="auto"/>
              <w:jc w:val="center"/>
              <w:rPr>
                <w:rFonts w:eastAsia="楷体_GB2312"/>
                <w:sz w:val="18"/>
                <w:lang w:eastAsia="zh-TW"/>
              </w:rPr>
            </w:pPr>
          </w:p>
        </w:tc>
      </w:tr>
      <w:tr w14:paraId="2B3974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6E2D2448">
            <w:pPr>
              <w:widowControl/>
              <w:spacing w:line="360" w:lineRule="auto"/>
              <w:jc w:val="left"/>
              <w:rPr>
                <w:rFonts w:eastAsia="楷体_GB2312"/>
                <w:lang w:eastAsia="zh-TW"/>
              </w:rPr>
            </w:pPr>
            <w:r>
              <w:rPr>
                <w:rFonts w:hint="eastAsia" w:eastAsia="楷体_GB2312"/>
              </w:rPr>
              <w:t>8</w:t>
            </w:r>
            <w:r>
              <w:rPr>
                <w:rFonts w:eastAsia="楷体_GB2312"/>
              </w:rPr>
              <w:t>.重大不利变化</w:t>
            </w:r>
          </w:p>
        </w:tc>
        <w:tc>
          <w:tcPr>
            <w:tcW w:w="1276" w:type="dxa"/>
            <w:tcBorders>
              <w:top w:val="single" w:color="auto" w:sz="4" w:space="0"/>
              <w:left w:val="single" w:color="auto" w:sz="4" w:space="0"/>
              <w:bottom w:val="single" w:color="auto" w:sz="4" w:space="0"/>
              <w:right w:val="single" w:color="auto" w:sz="4" w:space="0"/>
            </w:tcBorders>
          </w:tcPr>
          <w:p w14:paraId="54D5D6A4">
            <w:pPr>
              <w:widowControl/>
              <w:spacing w:line="360" w:lineRule="auto"/>
              <w:jc w:val="center"/>
              <w:rPr>
                <w:rFonts w:eastAsia="楷体_GB2312"/>
                <w:sz w:val="18"/>
                <w:lang w:eastAsia="zh-TW"/>
              </w:rPr>
            </w:pPr>
          </w:p>
        </w:tc>
        <w:tc>
          <w:tcPr>
            <w:tcW w:w="4684" w:type="dxa"/>
            <w:tcBorders>
              <w:top w:val="single" w:color="auto" w:sz="4" w:space="0"/>
              <w:left w:val="single" w:color="auto" w:sz="4" w:space="0"/>
              <w:bottom w:val="single" w:color="auto" w:sz="4" w:space="0"/>
              <w:right w:val="single" w:color="auto" w:sz="4" w:space="0"/>
            </w:tcBorders>
          </w:tcPr>
          <w:p w14:paraId="2A982E6A">
            <w:pPr>
              <w:widowControl/>
              <w:spacing w:line="360" w:lineRule="auto"/>
              <w:jc w:val="center"/>
              <w:rPr>
                <w:rFonts w:eastAsia="楷体_GB2312"/>
                <w:sz w:val="18"/>
                <w:lang w:eastAsia="zh-TW"/>
              </w:rPr>
            </w:pPr>
          </w:p>
        </w:tc>
      </w:tr>
      <w:tr w14:paraId="09D32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56322E83">
            <w:pPr>
              <w:widowControl/>
              <w:spacing w:line="360" w:lineRule="auto"/>
              <w:jc w:val="left"/>
              <w:rPr>
                <w:rFonts w:eastAsia="楷体_GB2312"/>
              </w:rPr>
            </w:pPr>
            <w:r>
              <w:rPr>
                <w:rFonts w:hint="eastAsia" w:eastAsia="楷体_GB2312"/>
              </w:rPr>
              <w:t>9</w:t>
            </w:r>
            <w:r>
              <w:rPr>
                <w:rFonts w:eastAsia="楷体_GB2312"/>
                <w:lang w:eastAsia="zh-TW"/>
              </w:rPr>
              <w:t>.重大不利影响</w:t>
            </w:r>
          </w:p>
        </w:tc>
        <w:tc>
          <w:tcPr>
            <w:tcW w:w="1276" w:type="dxa"/>
            <w:tcBorders>
              <w:top w:val="single" w:color="auto" w:sz="4" w:space="0"/>
              <w:left w:val="single" w:color="auto" w:sz="4" w:space="0"/>
              <w:bottom w:val="single" w:color="auto" w:sz="4" w:space="0"/>
              <w:right w:val="single" w:color="auto" w:sz="4" w:space="0"/>
            </w:tcBorders>
          </w:tcPr>
          <w:p w14:paraId="5E2F34CD">
            <w:pPr>
              <w:widowControl/>
              <w:spacing w:line="360" w:lineRule="auto"/>
              <w:jc w:val="center"/>
              <w:rPr>
                <w:rFonts w:eastAsia="楷体_GB2312"/>
                <w:sz w:val="18"/>
                <w:lang w:eastAsia="zh-TW"/>
              </w:rPr>
            </w:pPr>
          </w:p>
        </w:tc>
        <w:tc>
          <w:tcPr>
            <w:tcW w:w="4684" w:type="dxa"/>
            <w:tcBorders>
              <w:top w:val="single" w:color="auto" w:sz="4" w:space="0"/>
              <w:left w:val="single" w:color="auto" w:sz="4" w:space="0"/>
              <w:bottom w:val="single" w:color="auto" w:sz="4" w:space="0"/>
              <w:right w:val="single" w:color="auto" w:sz="4" w:space="0"/>
            </w:tcBorders>
          </w:tcPr>
          <w:p w14:paraId="540974D0">
            <w:pPr>
              <w:widowControl/>
              <w:spacing w:line="360" w:lineRule="auto"/>
              <w:jc w:val="center"/>
              <w:rPr>
                <w:rFonts w:eastAsia="楷体_GB2312"/>
                <w:sz w:val="18"/>
                <w:lang w:eastAsia="zh-TW"/>
              </w:rPr>
            </w:pPr>
          </w:p>
        </w:tc>
      </w:tr>
      <w:tr w14:paraId="2F640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05CB3BE0">
            <w:pPr>
              <w:widowControl/>
              <w:spacing w:line="360" w:lineRule="auto"/>
              <w:jc w:val="left"/>
              <w:rPr>
                <w:rFonts w:eastAsia="楷体_GB2312"/>
              </w:rPr>
            </w:pPr>
            <w:r>
              <w:rPr>
                <w:rFonts w:hint="eastAsia" w:eastAsia="楷体_GB2312"/>
              </w:rPr>
              <w:t>10</w:t>
            </w:r>
            <w:r>
              <w:rPr>
                <w:rFonts w:eastAsia="楷体_GB2312"/>
              </w:rPr>
              <w:t>.受托人解任事件</w:t>
            </w:r>
          </w:p>
        </w:tc>
        <w:tc>
          <w:tcPr>
            <w:tcW w:w="1276" w:type="dxa"/>
            <w:tcBorders>
              <w:top w:val="single" w:color="auto" w:sz="4" w:space="0"/>
              <w:left w:val="single" w:color="auto" w:sz="4" w:space="0"/>
              <w:bottom w:val="single" w:color="auto" w:sz="4" w:space="0"/>
              <w:right w:val="single" w:color="auto" w:sz="4" w:space="0"/>
            </w:tcBorders>
          </w:tcPr>
          <w:p w14:paraId="60C4C71B">
            <w:pPr>
              <w:widowControl/>
              <w:spacing w:line="360" w:lineRule="auto"/>
              <w:jc w:val="center"/>
              <w:rPr>
                <w:rFonts w:eastAsia="楷体_GB2312"/>
                <w:sz w:val="18"/>
              </w:rPr>
            </w:pPr>
          </w:p>
        </w:tc>
        <w:tc>
          <w:tcPr>
            <w:tcW w:w="4684" w:type="dxa"/>
            <w:tcBorders>
              <w:top w:val="single" w:color="auto" w:sz="4" w:space="0"/>
              <w:left w:val="single" w:color="auto" w:sz="4" w:space="0"/>
              <w:bottom w:val="single" w:color="auto" w:sz="4" w:space="0"/>
              <w:right w:val="single" w:color="auto" w:sz="4" w:space="0"/>
            </w:tcBorders>
          </w:tcPr>
          <w:p w14:paraId="781742A1">
            <w:pPr>
              <w:widowControl/>
              <w:spacing w:line="360" w:lineRule="auto"/>
              <w:jc w:val="center"/>
              <w:rPr>
                <w:rFonts w:eastAsia="楷体_GB2312"/>
                <w:sz w:val="18"/>
              </w:rPr>
            </w:pPr>
          </w:p>
        </w:tc>
      </w:tr>
      <w:tr w14:paraId="2FD940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2AD1931F">
            <w:pPr>
              <w:widowControl/>
              <w:spacing w:line="360" w:lineRule="auto"/>
              <w:jc w:val="left"/>
              <w:rPr>
                <w:rFonts w:eastAsia="楷体_GB2312"/>
              </w:rPr>
            </w:pPr>
            <w:r>
              <w:rPr>
                <w:rFonts w:eastAsia="楷体_GB2312"/>
              </w:rPr>
              <w:t>1</w:t>
            </w:r>
            <w:r>
              <w:rPr>
                <w:rFonts w:hint="eastAsia" w:eastAsia="楷体_GB2312"/>
              </w:rPr>
              <w:t>1</w:t>
            </w:r>
            <w:r>
              <w:rPr>
                <w:rFonts w:eastAsia="楷体_GB2312"/>
              </w:rPr>
              <w:t>.贷款服务机构解任事件</w:t>
            </w:r>
          </w:p>
        </w:tc>
        <w:tc>
          <w:tcPr>
            <w:tcW w:w="1276" w:type="dxa"/>
            <w:tcBorders>
              <w:top w:val="single" w:color="auto" w:sz="4" w:space="0"/>
              <w:left w:val="single" w:color="auto" w:sz="4" w:space="0"/>
              <w:bottom w:val="single" w:color="auto" w:sz="4" w:space="0"/>
              <w:right w:val="single" w:color="auto" w:sz="4" w:space="0"/>
            </w:tcBorders>
          </w:tcPr>
          <w:p w14:paraId="4505CF3F">
            <w:pPr>
              <w:widowControl/>
              <w:spacing w:line="360" w:lineRule="auto"/>
              <w:jc w:val="center"/>
              <w:rPr>
                <w:rFonts w:eastAsia="楷体_GB2312"/>
                <w:sz w:val="18"/>
              </w:rPr>
            </w:pPr>
          </w:p>
        </w:tc>
        <w:tc>
          <w:tcPr>
            <w:tcW w:w="4684" w:type="dxa"/>
            <w:tcBorders>
              <w:top w:val="single" w:color="auto" w:sz="4" w:space="0"/>
              <w:left w:val="single" w:color="auto" w:sz="4" w:space="0"/>
              <w:bottom w:val="single" w:color="auto" w:sz="4" w:space="0"/>
              <w:right w:val="single" w:color="auto" w:sz="4" w:space="0"/>
            </w:tcBorders>
          </w:tcPr>
          <w:p w14:paraId="0AEC8C91">
            <w:pPr>
              <w:widowControl/>
              <w:spacing w:line="360" w:lineRule="auto"/>
              <w:jc w:val="center"/>
              <w:rPr>
                <w:rFonts w:eastAsia="楷体_GB2312"/>
                <w:sz w:val="18"/>
              </w:rPr>
            </w:pPr>
          </w:p>
        </w:tc>
      </w:tr>
      <w:tr w14:paraId="5424B1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3C917C44">
            <w:pPr>
              <w:widowControl/>
              <w:spacing w:line="360" w:lineRule="auto"/>
              <w:jc w:val="left"/>
              <w:rPr>
                <w:rFonts w:eastAsia="楷体_GB2312"/>
              </w:rPr>
            </w:pPr>
            <w:r>
              <w:rPr>
                <w:rFonts w:eastAsia="楷体_GB2312"/>
              </w:rPr>
              <w:t>1</w:t>
            </w:r>
            <w:r>
              <w:rPr>
                <w:rFonts w:hint="eastAsia" w:eastAsia="楷体_GB2312"/>
              </w:rPr>
              <w:t>2</w:t>
            </w:r>
            <w:r>
              <w:rPr>
                <w:rFonts w:eastAsia="楷体_GB2312"/>
              </w:rPr>
              <w:t>.资金保管机构解任事件</w:t>
            </w:r>
          </w:p>
        </w:tc>
        <w:tc>
          <w:tcPr>
            <w:tcW w:w="1276" w:type="dxa"/>
            <w:tcBorders>
              <w:top w:val="single" w:color="auto" w:sz="4" w:space="0"/>
              <w:left w:val="single" w:color="auto" w:sz="4" w:space="0"/>
              <w:bottom w:val="single" w:color="auto" w:sz="4" w:space="0"/>
              <w:right w:val="single" w:color="auto" w:sz="4" w:space="0"/>
            </w:tcBorders>
          </w:tcPr>
          <w:p w14:paraId="34590862">
            <w:pPr>
              <w:widowControl/>
              <w:spacing w:line="360" w:lineRule="auto"/>
              <w:jc w:val="center"/>
              <w:rPr>
                <w:rFonts w:eastAsia="楷体_GB2312"/>
                <w:sz w:val="18"/>
              </w:rPr>
            </w:pPr>
          </w:p>
        </w:tc>
        <w:tc>
          <w:tcPr>
            <w:tcW w:w="4684" w:type="dxa"/>
            <w:tcBorders>
              <w:top w:val="single" w:color="auto" w:sz="4" w:space="0"/>
              <w:left w:val="single" w:color="auto" w:sz="4" w:space="0"/>
              <w:bottom w:val="single" w:color="auto" w:sz="4" w:space="0"/>
              <w:right w:val="single" w:color="auto" w:sz="4" w:space="0"/>
            </w:tcBorders>
          </w:tcPr>
          <w:p w14:paraId="56A35C9C">
            <w:pPr>
              <w:widowControl/>
              <w:spacing w:line="360" w:lineRule="auto"/>
              <w:jc w:val="center"/>
              <w:rPr>
                <w:rFonts w:eastAsia="楷体_GB2312"/>
                <w:sz w:val="18"/>
              </w:rPr>
            </w:pPr>
          </w:p>
        </w:tc>
      </w:tr>
      <w:tr w14:paraId="46BC4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1EC10DFF">
            <w:pPr>
              <w:widowControl/>
              <w:spacing w:line="360" w:lineRule="auto"/>
              <w:jc w:val="left"/>
              <w:rPr>
                <w:rFonts w:eastAsia="楷体_GB2312"/>
              </w:rPr>
            </w:pPr>
            <w:r>
              <w:rPr>
                <w:rFonts w:eastAsia="楷体_GB2312"/>
              </w:rPr>
              <w:t>1</w:t>
            </w:r>
            <w:r>
              <w:rPr>
                <w:rFonts w:hint="eastAsia" w:eastAsia="楷体_GB2312"/>
              </w:rPr>
              <w:t>3</w:t>
            </w:r>
            <w:r>
              <w:rPr>
                <w:rFonts w:eastAsia="楷体_GB2312"/>
              </w:rPr>
              <w:t>.资产支持证券持有人大会</w:t>
            </w:r>
          </w:p>
        </w:tc>
        <w:tc>
          <w:tcPr>
            <w:tcW w:w="1276" w:type="dxa"/>
            <w:tcBorders>
              <w:top w:val="single" w:color="auto" w:sz="4" w:space="0"/>
              <w:left w:val="single" w:color="auto" w:sz="4" w:space="0"/>
              <w:bottom w:val="single" w:color="auto" w:sz="4" w:space="0"/>
              <w:right w:val="single" w:color="auto" w:sz="4" w:space="0"/>
            </w:tcBorders>
          </w:tcPr>
          <w:p w14:paraId="6F42A26F">
            <w:pPr>
              <w:widowControl/>
              <w:spacing w:line="360" w:lineRule="auto"/>
              <w:jc w:val="center"/>
              <w:rPr>
                <w:rFonts w:eastAsia="楷体_GB2312"/>
                <w:sz w:val="18"/>
              </w:rPr>
            </w:pPr>
          </w:p>
        </w:tc>
        <w:tc>
          <w:tcPr>
            <w:tcW w:w="4684" w:type="dxa"/>
            <w:tcBorders>
              <w:top w:val="single" w:color="auto" w:sz="4" w:space="0"/>
              <w:left w:val="single" w:color="auto" w:sz="4" w:space="0"/>
              <w:bottom w:val="single" w:color="auto" w:sz="4" w:space="0"/>
              <w:right w:val="single" w:color="auto" w:sz="4" w:space="0"/>
            </w:tcBorders>
          </w:tcPr>
          <w:p w14:paraId="6A5E825E">
            <w:pPr>
              <w:widowControl/>
              <w:spacing w:line="360" w:lineRule="auto"/>
              <w:jc w:val="center"/>
              <w:rPr>
                <w:rFonts w:eastAsia="楷体_GB2312"/>
                <w:sz w:val="18"/>
              </w:rPr>
            </w:pPr>
          </w:p>
        </w:tc>
      </w:tr>
      <w:tr w14:paraId="3AD39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41242136">
            <w:pPr>
              <w:widowControl/>
              <w:spacing w:line="360" w:lineRule="auto"/>
              <w:jc w:val="left"/>
              <w:rPr>
                <w:rFonts w:eastAsia="楷体_GB2312"/>
              </w:rPr>
            </w:pPr>
            <w:r>
              <w:rPr>
                <w:rFonts w:hint="eastAsia" w:eastAsia="楷体_GB2312"/>
              </w:rPr>
              <w:t>14.法定到期日延长</w:t>
            </w:r>
          </w:p>
        </w:tc>
        <w:tc>
          <w:tcPr>
            <w:tcW w:w="1276" w:type="dxa"/>
            <w:tcBorders>
              <w:top w:val="single" w:color="auto" w:sz="4" w:space="0"/>
              <w:left w:val="single" w:color="auto" w:sz="4" w:space="0"/>
              <w:bottom w:val="single" w:color="auto" w:sz="4" w:space="0"/>
              <w:right w:val="single" w:color="auto" w:sz="4" w:space="0"/>
            </w:tcBorders>
          </w:tcPr>
          <w:p w14:paraId="221AFBF2">
            <w:pPr>
              <w:widowControl/>
              <w:spacing w:line="360" w:lineRule="auto"/>
              <w:jc w:val="center"/>
              <w:rPr>
                <w:rFonts w:eastAsia="楷体_GB2312"/>
                <w:sz w:val="18"/>
              </w:rPr>
            </w:pPr>
          </w:p>
        </w:tc>
        <w:tc>
          <w:tcPr>
            <w:tcW w:w="4684" w:type="dxa"/>
            <w:tcBorders>
              <w:top w:val="single" w:color="auto" w:sz="4" w:space="0"/>
              <w:left w:val="single" w:color="auto" w:sz="4" w:space="0"/>
              <w:bottom w:val="single" w:color="auto" w:sz="4" w:space="0"/>
              <w:right w:val="single" w:color="auto" w:sz="4" w:space="0"/>
            </w:tcBorders>
          </w:tcPr>
          <w:p w14:paraId="004038E7">
            <w:pPr>
              <w:widowControl/>
              <w:spacing w:line="360" w:lineRule="auto"/>
              <w:jc w:val="center"/>
              <w:rPr>
                <w:rFonts w:eastAsia="楷体_GB2312"/>
                <w:sz w:val="18"/>
              </w:rPr>
            </w:pPr>
          </w:p>
        </w:tc>
      </w:tr>
      <w:tr w14:paraId="4062E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6316B062">
            <w:pPr>
              <w:widowControl/>
              <w:spacing w:line="360" w:lineRule="auto"/>
              <w:jc w:val="left"/>
              <w:rPr>
                <w:rFonts w:eastAsia="楷体_GB2312"/>
              </w:rPr>
            </w:pPr>
            <w:r>
              <w:rPr>
                <w:rFonts w:hint="eastAsia" w:eastAsia="楷体_GB2312"/>
              </w:rPr>
              <w:t>15.清算期延长</w:t>
            </w:r>
          </w:p>
        </w:tc>
        <w:tc>
          <w:tcPr>
            <w:tcW w:w="1276" w:type="dxa"/>
            <w:tcBorders>
              <w:top w:val="single" w:color="auto" w:sz="4" w:space="0"/>
              <w:left w:val="single" w:color="auto" w:sz="4" w:space="0"/>
              <w:bottom w:val="single" w:color="auto" w:sz="4" w:space="0"/>
              <w:right w:val="single" w:color="auto" w:sz="4" w:space="0"/>
            </w:tcBorders>
          </w:tcPr>
          <w:p w14:paraId="78798C05">
            <w:pPr>
              <w:widowControl/>
              <w:spacing w:line="360" w:lineRule="auto"/>
              <w:jc w:val="center"/>
              <w:rPr>
                <w:rFonts w:eastAsia="楷体_GB2312"/>
                <w:sz w:val="18"/>
              </w:rPr>
            </w:pPr>
          </w:p>
        </w:tc>
        <w:tc>
          <w:tcPr>
            <w:tcW w:w="4684" w:type="dxa"/>
            <w:tcBorders>
              <w:top w:val="single" w:color="auto" w:sz="4" w:space="0"/>
              <w:left w:val="single" w:color="auto" w:sz="4" w:space="0"/>
              <w:bottom w:val="single" w:color="auto" w:sz="4" w:space="0"/>
              <w:right w:val="single" w:color="auto" w:sz="4" w:space="0"/>
            </w:tcBorders>
          </w:tcPr>
          <w:p w14:paraId="69FD95A6">
            <w:pPr>
              <w:widowControl/>
              <w:spacing w:line="360" w:lineRule="auto"/>
              <w:jc w:val="center"/>
              <w:rPr>
                <w:rFonts w:eastAsia="楷体_GB2312"/>
                <w:sz w:val="18"/>
              </w:rPr>
            </w:pPr>
          </w:p>
        </w:tc>
      </w:tr>
      <w:tr w14:paraId="0F6C89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14:paraId="2D8354D6">
            <w:pPr>
              <w:widowControl/>
              <w:spacing w:line="360" w:lineRule="auto"/>
              <w:rPr>
                <w:rFonts w:eastAsia="楷体_GB2312"/>
                <w:sz w:val="18"/>
              </w:rPr>
            </w:pPr>
            <w:r>
              <w:rPr>
                <w:rFonts w:eastAsia="楷体_GB2312"/>
              </w:rPr>
              <w:t>1</w:t>
            </w:r>
            <w:r>
              <w:rPr>
                <w:rFonts w:hint="eastAsia" w:eastAsia="楷体_GB2312"/>
              </w:rPr>
              <w:t>6</w:t>
            </w:r>
            <w:r>
              <w:rPr>
                <w:rFonts w:eastAsia="楷体_GB2312"/>
              </w:rPr>
              <w:t>.其他影响</w:t>
            </w:r>
            <w:r>
              <w:rPr>
                <w:rFonts w:hint="eastAsia" w:eastAsia="楷体_GB2312"/>
              </w:rPr>
              <w:t>证券</w:t>
            </w:r>
            <w:r>
              <w:rPr>
                <w:rFonts w:eastAsia="楷体_GB2312"/>
              </w:rPr>
              <w:t>本息兑付或投资者利益的事项</w:t>
            </w:r>
            <w:r>
              <w:rPr>
                <w:rFonts w:hint="eastAsia" w:eastAsia="楷体_GB2312"/>
              </w:rPr>
              <w:t>（如负面的催收相关事项）</w:t>
            </w:r>
          </w:p>
        </w:tc>
        <w:tc>
          <w:tcPr>
            <w:tcW w:w="1276" w:type="dxa"/>
            <w:tcBorders>
              <w:top w:val="single" w:color="auto" w:sz="4" w:space="0"/>
              <w:left w:val="single" w:color="auto" w:sz="4" w:space="0"/>
              <w:bottom w:val="single" w:color="auto" w:sz="4" w:space="0"/>
              <w:right w:val="single" w:color="auto" w:sz="4" w:space="0"/>
            </w:tcBorders>
          </w:tcPr>
          <w:p w14:paraId="225A623F">
            <w:pPr>
              <w:widowControl/>
              <w:spacing w:line="360" w:lineRule="auto"/>
              <w:jc w:val="center"/>
              <w:rPr>
                <w:rFonts w:eastAsia="楷体_GB2312"/>
                <w:sz w:val="18"/>
              </w:rPr>
            </w:pPr>
          </w:p>
        </w:tc>
        <w:tc>
          <w:tcPr>
            <w:tcW w:w="4684" w:type="dxa"/>
            <w:tcBorders>
              <w:top w:val="single" w:color="auto" w:sz="4" w:space="0"/>
              <w:left w:val="single" w:color="auto" w:sz="4" w:space="0"/>
              <w:bottom w:val="single" w:color="auto" w:sz="4" w:space="0"/>
              <w:right w:val="single" w:color="auto" w:sz="4" w:space="0"/>
            </w:tcBorders>
          </w:tcPr>
          <w:p w14:paraId="0077CFD3">
            <w:pPr>
              <w:widowControl/>
              <w:spacing w:line="360" w:lineRule="auto"/>
              <w:jc w:val="center"/>
              <w:rPr>
                <w:rFonts w:eastAsia="楷体_GB2312"/>
                <w:sz w:val="18"/>
              </w:rPr>
            </w:pPr>
          </w:p>
        </w:tc>
      </w:tr>
    </w:tbl>
    <w:p w14:paraId="51DD0D6B">
      <w:pPr>
        <w:widowControl/>
        <w:spacing w:line="360" w:lineRule="auto"/>
        <w:jc w:val="left"/>
        <w:rPr>
          <w:rFonts w:eastAsia="楷体_GB2312"/>
          <w:b/>
          <w:bCs/>
          <w:i/>
          <w:iCs/>
          <w:color w:val="FF0000"/>
          <w:sz w:val="24"/>
        </w:rPr>
      </w:pPr>
    </w:p>
    <w:p w14:paraId="2858A62A">
      <w:pPr>
        <w:widowControl/>
        <w:spacing w:line="360" w:lineRule="auto"/>
        <w:jc w:val="left"/>
        <w:rPr>
          <w:rFonts w:eastAsia="楷体_GB2312"/>
          <w:b/>
          <w:bCs/>
          <w:i/>
          <w:iCs/>
          <w:color w:val="FF0000"/>
          <w:sz w:val="24"/>
        </w:rPr>
      </w:pPr>
      <w:r>
        <w:rPr>
          <w:rFonts w:eastAsia="楷体_GB2312"/>
          <w:b/>
          <w:bCs/>
          <w:i/>
          <w:iCs/>
          <w:color w:val="FF0000"/>
          <w:sz w:val="24"/>
        </w:rPr>
        <w:t>【注：</w:t>
      </w:r>
      <w:r>
        <w:rPr>
          <w:rFonts w:hint="eastAsia" w:eastAsia="楷体_GB2312"/>
          <w:b/>
          <w:bCs/>
          <w:i/>
          <w:iCs/>
          <w:color w:val="FF0000"/>
          <w:sz w:val="24"/>
        </w:rPr>
        <w:t>关于报告期内应披露的重大</w:t>
      </w:r>
      <w:r>
        <w:rPr>
          <w:rFonts w:eastAsia="楷体_GB2312"/>
          <w:b/>
          <w:bCs/>
          <w:i/>
          <w:iCs/>
          <w:color w:val="FF0000"/>
          <w:sz w:val="24"/>
        </w:rPr>
        <w:t>事件需</w:t>
      </w:r>
      <w:r>
        <w:rPr>
          <w:rFonts w:hint="eastAsia" w:eastAsia="楷体_GB2312"/>
          <w:b/>
          <w:bCs/>
          <w:i/>
          <w:iCs/>
          <w:color w:val="FF0000"/>
          <w:sz w:val="24"/>
        </w:rPr>
        <w:t>结合最新的规定予以补充或调整</w:t>
      </w:r>
      <w:r>
        <w:rPr>
          <w:rFonts w:eastAsia="楷体_GB2312"/>
          <w:b/>
          <w:bCs/>
          <w:i/>
          <w:iCs/>
          <w:color w:val="FF0000"/>
          <w:sz w:val="24"/>
        </w:rPr>
        <w:t>。】</w:t>
      </w:r>
    </w:p>
    <w:p w14:paraId="6BEB64C8">
      <w:pPr>
        <w:widowControl/>
        <w:spacing w:line="360" w:lineRule="auto"/>
        <w:jc w:val="right"/>
        <w:rPr>
          <w:rFonts w:eastAsia="楷体_GB2312"/>
          <w:sz w:val="24"/>
        </w:rPr>
      </w:pPr>
    </w:p>
    <w:p w14:paraId="40865075">
      <w:pPr>
        <w:widowControl/>
        <w:spacing w:line="360" w:lineRule="auto"/>
        <w:jc w:val="right"/>
        <w:rPr>
          <w:rFonts w:eastAsia="楷体_GB2312"/>
          <w:sz w:val="24"/>
        </w:rPr>
      </w:pPr>
    </w:p>
    <w:p w14:paraId="7BC95F75">
      <w:pPr>
        <w:widowControl/>
        <w:spacing w:line="360" w:lineRule="auto"/>
        <w:jc w:val="right"/>
        <w:rPr>
          <w:rFonts w:eastAsia="楷体_GB2312"/>
          <w:sz w:val="24"/>
        </w:rPr>
      </w:pPr>
    </w:p>
    <w:p w14:paraId="77600C3A">
      <w:pPr>
        <w:widowControl/>
        <w:spacing w:line="360" w:lineRule="auto"/>
        <w:jc w:val="right"/>
        <w:rPr>
          <w:rFonts w:eastAsia="楷体_GB2312"/>
          <w:sz w:val="24"/>
        </w:rPr>
      </w:pPr>
      <w:r>
        <w:rPr>
          <w:rFonts w:eastAsia="楷体_GB2312"/>
          <w:sz w:val="24"/>
        </w:rPr>
        <w:t>【受托机构全称】（公章）</w:t>
      </w:r>
    </w:p>
    <w:p w14:paraId="3AC20FAC">
      <w:pPr>
        <w:ind w:firstLine="5520" w:firstLineChars="2300"/>
        <w:rPr>
          <w:rFonts w:eastAsia="楷体_GB2312"/>
        </w:rPr>
      </w:pPr>
      <w:r>
        <w:rPr>
          <w:rFonts w:eastAsia="楷体_GB2312"/>
          <w:sz w:val="24"/>
          <w:lang w:eastAsia="zh-TW"/>
        </w:rPr>
        <w:t>【】年【】月【】日</w:t>
      </w:r>
    </w:p>
    <w:p w14:paraId="41E0040A">
      <w:pPr>
        <w:rPr>
          <w:rFonts w:eastAsia="楷体_GB2312"/>
        </w:rPr>
      </w:pPr>
    </w:p>
    <w:p w14:paraId="4A07C335">
      <w:pPr>
        <w:rPr>
          <w:rFonts w:eastAsia="楷体_GB2312"/>
        </w:rPr>
      </w:pPr>
    </w:p>
    <w:p w14:paraId="26D89E59">
      <w:pPr>
        <w:widowControl/>
        <w:jc w:val="left"/>
        <w:rPr>
          <w:rFonts w:eastAsia="楷体_GB2312"/>
        </w:rPr>
      </w:pPr>
    </w:p>
    <w:tbl>
      <w:tblPr>
        <w:tblStyle w:val="27"/>
        <w:tblW w:w="85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20"/>
      </w:tblGrid>
      <w:tr w14:paraId="23BEDB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single" w:color="auto" w:sz="4" w:space="0"/>
              <w:left w:val="single" w:color="auto" w:sz="4" w:space="0"/>
              <w:bottom w:val="single" w:color="auto" w:sz="4" w:space="0"/>
              <w:right w:val="single" w:color="auto" w:sz="4" w:space="0"/>
            </w:tcBorders>
          </w:tcPr>
          <w:p w14:paraId="5F3F8ADB">
            <w:pPr>
              <w:widowControl/>
              <w:spacing w:line="360" w:lineRule="auto"/>
              <w:jc w:val="center"/>
              <w:rPr>
                <w:rFonts w:eastAsia="楷体_GB2312"/>
                <w:b/>
                <w:sz w:val="28"/>
              </w:rPr>
            </w:pPr>
            <w:r>
              <w:rPr>
                <w:rFonts w:eastAsia="楷体_GB2312"/>
                <w:b/>
                <w:sz w:val="28"/>
              </w:rPr>
              <w:t>【信托名称】受托机构报告</w:t>
            </w:r>
          </w:p>
        </w:tc>
      </w:tr>
      <w:tr w14:paraId="43FE3B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single" w:color="auto" w:sz="4" w:space="0"/>
              <w:left w:val="single" w:color="auto" w:sz="4" w:space="0"/>
              <w:bottom w:val="nil"/>
              <w:right w:val="single" w:color="auto" w:sz="4" w:space="0"/>
            </w:tcBorders>
          </w:tcPr>
          <w:p w14:paraId="6BEB7BEE">
            <w:pPr>
              <w:widowControl/>
              <w:spacing w:line="360" w:lineRule="auto"/>
              <w:jc w:val="left"/>
              <w:rPr>
                <w:rFonts w:eastAsia="楷体_GB2312"/>
                <w:b/>
                <w:sz w:val="24"/>
              </w:rPr>
            </w:pPr>
          </w:p>
        </w:tc>
      </w:tr>
      <w:tr w14:paraId="0CF185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nil"/>
              <w:left w:val="single" w:color="auto" w:sz="4" w:space="0"/>
              <w:bottom w:val="nil"/>
              <w:right w:val="single" w:color="auto" w:sz="4" w:space="0"/>
            </w:tcBorders>
          </w:tcPr>
          <w:p w14:paraId="0B4A93FB">
            <w:pPr>
              <w:widowControl/>
              <w:spacing w:line="360" w:lineRule="auto"/>
              <w:jc w:val="left"/>
              <w:rPr>
                <w:rFonts w:eastAsia="楷体_GB2312"/>
                <w:szCs w:val="21"/>
              </w:rPr>
            </w:pPr>
            <w:r>
              <w:rPr>
                <w:rFonts w:eastAsia="楷体_GB2312"/>
                <w:szCs w:val="21"/>
              </w:rPr>
              <w:t>八、本期发生/未发生损害信托财产、委托人或者受益人利益等重大事项，（如发生）受托人采取的应对措施和解决情况如下：【】</w:t>
            </w:r>
          </w:p>
          <w:p w14:paraId="471BB4BD">
            <w:pPr>
              <w:widowControl/>
              <w:spacing w:line="360" w:lineRule="auto"/>
              <w:jc w:val="left"/>
              <w:rPr>
                <w:rFonts w:eastAsia="楷体_GB2312"/>
                <w:szCs w:val="21"/>
              </w:rPr>
            </w:pPr>
          </w:p>
        </w:tc>
      </w:tr>
      <w:tr w14:paraId="73F96F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nil"/>
              <w:left w:val="single" w:color="auto" w:sz="4" w:space="0"/>
              <w:bottom w:val="nil"/>
              <w:right w:val="single" w:color="auto" w:sz="4" w:space="0"/>
            </w:tcBorders>
          </w:tcPr>
          <w:p w14:paraId="288C63D5">
            <w:pPr>
              <w:widowControl/>
              <w:spacing w:line="360" w:lineRule="auto"/>
              <w:jc w:val="left"/>
              <w:rPr>
                <w:rFonts w:eastAsia="楷体_GB2312"/>
                <w:szCs w:val="21"/>
              </w:rPr>
            </w:pPr>
            <w:r>
              <w:rPr>
                <w:rFonts w:eastAsia="楷体_GB2312"/>
                <w:szCs w:val="21"/>
              </w:rPr>
              <w:t>九、本期受托人如期正常地收到贷款服务机构报告及资金保管报告。</w:t>
            </w:r>
          </w:p>
          <w:p w14:paraId="2CDEA1FF">
            <w:pPr>
              <w:widowControl/>
              <w:spacing w:line="360" w:lineRule="auto"/>
              <w:jc w:val="center"/>
              <w:rPr>
                <w:rFonts w:eastAsia="楷体_GB2312"/>
                <w:szCs w:val="21"/>
              </w:rPr>
            </w:pPr>
          </w:p>
        </w:tc>
      </w:tr>
      <w:tr w14:paraId="3302E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nil"/>
              <w:left w:val="single" w:color="auto" w:sz="4" w:space="0"/>
              <w:bottom w:val="nil"/>
              <w:right w:val="single" w:color="auto" w:sz="4" w:space="0"/>
            </w:tcBorders>
          </w:tcPr>
          <w:p w14:paraId="432EE71C">
            <w:pPr>
              <w:widowControl/>
              <w:spacing w:line="360" w:lineRule="auto"/>
              <w:jc w:val="left"/>
              <w:rPr>
                <w:rFonts w:eastAsia="楷体_GB2312"/>
                <w:szCs w:val="21"/>
                <w:lang w:eastAsia="zh-TW"/>
              </w:rPr>
            </w:pPr>
            <w:r>
              <w:rPr>
                <w:rFonts w:eastAsia="楷体_GB2312"/>
                <w:szCs w:val="21"/>
              </w:rPr>
              <w:t>十、（如发生）由于本期服务机构报告和资金保管报告金额的差异造成本期受托机构报告中某些金额不符，受托人正在督促以上两方进行核对、更正。</w:t>
            </w:r>
            <w:r>
              <w:rPr>
                <w:rFonts w:eastAsia="楷体_GB2312"/>
                <w:szCs w:val="21"/>
                <w:lang w:eastAsia="zh-TW"/>
              </w:rPr>
              <w:t>（如发生）上期报告中差异更正如下：</w:t>
            </w:r>
          </w:p>
          <w:p w14:paraId="796501CC">
            <w:pPr>
              <w:widowControl/>
              <w:spacing w:line="360" w:lineRule="auto"/>
              <w:jc w:val="left"/>
              <w:rPr>
                <w:rFonts w:eastAsia="楷体_GB2312"/>
                <w:szCs w:val="21"/>
                <w:lang w:eastAsia="zh-TW"/>
              </w:rPr>
            </w:pPr>
          </w:p>
        </w:tc>
      </w:tr>
      <w:tr w14:paraId="2C8C4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nil"/>
              <w:left w:val="single" w:color="auto" w:sz="4" w:space="0"/>
              <w:bottom w:val="single" w:color="auto" w:sz="4" w:space="0"/>
              <w:right w:val="single" w:color="auto" w:sz="4" w:space="0"/>
            </w:tcBorders>
          </w:tcPr>
          <w:p w14:paraId="125045A3">
            <w:pPr>
              <w:widowControl/>
              <w:spacing w:line="360" w:lineRule="auto"/>
              <w:jc w:val="left"/>
              <w:rPr>
                <w:rFonts w:eastAsia="楷体_GB2312"/>
                <w:szCs w:val="21"/>
              </w:rPr>
            </w:pPr>
            <w:r>
              <w:rPr>
                <w:rFonts w:eastAsia="楷体_GB2312"/>
                <w:szCs w:val="21"/>
              </w:rPr>
              <w:t>十一、备查文件：1.贷款服务机构报告；2.资金保管报告。</w:t>
            </w:r>
          </w:p>
        </w:tc>
      </w:tr>
    </w:tbl>
    <w:p w14:paraId="1C0A2611">
      <w:pPr>
        <w:rPr>
          <w:rFonts w:eastAsia="楷体_GB2312"/>
          <w:sz w:val="24"/>
        </w:rPr>
      </w:pPr>
    </w:p>
    <w:p w14:paraId="4C6319B7">
      <w:pPr>
        <w:widowControl/>
        <w:jc w:val="left"/>
        <w:rPr>
          <w:rFonts w:eastAsia="楷体_GB2312"/>
          <w:sz w:val="24"/>
        </w:rPr>
      </w:pPr>
      <w:r>
        <w:rPr>
          <w:rFonts w:eastAsia="楷体_GB2312"/>
          <w:sz w:val="24"/>
        </w:rPr>
        <w:br w:type="page"/>
      </w:r>
    </w:p>
    <w:p w14:paraId="10DE5C86">
      <w:pPr>
        <w:rPr>
          <w:rFonts w:eastAsia="楷体_GB2312"/>
        </w:rPr>
      </w:pPr>
    </w:p>
    <w:tbl>
      <w:tblPr>
        <w:tblStyle w:val="2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3066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Borders>
              <w:top w:val="single" w:color="auto" w:sz="4" w:space="0"/>
              <w:left w:val="single" w:color="auto" w:sz="4" w:space="0"/>
              <w:bottom w:val="single" w:color="auto" w:sz="4" w:space="0"/>
              <w:right w:val="single" w:color="auto" w:sz="4" w:space="0"/>
            </w:tcBorders>
          </w:tcPr>
          <w:p w14:paraId="3D902864">
            <w:pPr>
              <w:widowControl/>
              <w:spacing w:line="360" w:lineRule="auto"/>
              <w:jc w:val="left"/>
              <w:rPr>
                <w:rFonts w:eastAsia="楷体_GB2312"/>
                <w:sz w:val="18"/>
              </w:rPr>
            </w:pPr>
            <w:r>
              <w:rPr>
                <w:rFonts w:eastAsia="楷体_GB2312"/>
                <w:sz w:val="24"/>
              </w:rPr>
              <w:t>指标释义：</w:t>
            </w:r>
          </w:p>
          <w:p w14:paraId="5E6A6881">
            <w:pPr>
              <w:widowControl/>
              <w:spacing w:line="360" w:lineRule="auto"/>
              <w:jc w:val="left"/>
              <w:rPr>
                <w:rFonts w:eastAsia="楷体_GB2312"/>
                <w:sz w:val="18"/>
              </w:rPr>
            </w:pPr>
            <w:r>
              <w:rPr>
                <w:rFonts w:eastAsia="楷体_GB2312"/>
                <w:sz w:val="18"/>
              </w:rPr>
              <w:t>1：累计违约率：就某一“收款期间”而言，该“收款期间”的“累计违约率”系指A/B所得的百分比，其中，A为该“收款期间”以及之前各“收款期间”内的所有“违约贷款”在成为“违约贷款”时的“未偿本金余额”之和，B为</w:t>
            </w:r>
            <w:r>
              <w:rPr>
                <w:rFonts w:eastAsia="楷体_GB2312"/>
                <w:sz w:val="18"/>
                <w:szCs w:val="18"/>
              </w:rPr>
              <w:t>该“收款期间”以及之前各“收款期间”内的所有“贷款”在“</w:t>
            </w:r>
            <w:r>
              <w:rPr>
                <w:rFonts w:eastAsia="楷体_GB2312"/>
                <w:sz w:val="18"/>
              </w:rPr>
              <w:t>初始起算</w:t>
            </w:r>
            <w:r>
              <w:rPr>
                <w:rFonts w:eastAsia="楷体_GB2312"/>
                <w:sz w:val="18"/>
                <w:szCs w:val="18"/>
              </w:rPr>
              <w:t>日”（如该”贷款”在“初始起算日”【</w:t>
            </w:r>
            <w:r>
              <w:rPr>
                <w:rFonts w:eastAsia="楷体_GB2312"/>
                <w:i/>
                <w:iCs/>
                <w:sz w:val="18"/>
                <w:szCs w:val="18"/>
              </w:rPr>
              <w:t>具体时点</w:t>
            </w:r>
            <w:r>
              <w:rPr>
                <w:rFonts w:eastAsia="楷体_GB2312"/>
                <w:sz w:val="18"/>
                <w:szCs w:val="18"/>
              </w:rPr>
              <w:t>】尚未发放，则系指该“贷款”发放时）的“未偿本</w:t>
            </w:r>
            <w:r>
              <w:rPr>
                <w:rFonts w:eastAsia="楷体_GB2312"/>
                <w:sz w:val="18"/>
              </w:rPr>
              <w:t>金余额”之和。</w:t>
            </w:r>
          </w:p>
          <w:p w14:paraId="33381772">
            <w:pPr>
              <w:widowControl/>
              <w:spacing w:line="360" w:lineRule="auto"/>
              <w:jc w:val="left"/>
              <w:rPr>
                <w:rFonts w:eastAsia="楷体_GB2312"/>
                <w:sz w:val="18"/>
              </w:rPr>
            </w:pPr>
            <w:r>
              <w:rPr>
                <w:rFonts w:eastAsia="楷体_GB2312"/>
                <w:sz w:val="18"/>
              </w:rPr>
              <w:t>2：执行费用扣款：为本期服务机构从“违约贷款”的回收金额中实际扣除的其以往已经为全部“违约贷款”垫付的所有“执行费用”。</w:t>
            </w:r>
          </w:p>
          <w:p w14:paraId="09E8508D">
            <w:pPr>
              <w:widowControl/>
              <w:tabs>
                <w:tab w:val="left" w:pos="720"/>
                <w:tab w:val="left" w:pos="1440"/>
                <w:tab w:val="left" w:pos="2160"/>
                <w:tab w:val="center" w:pos="4150"/>
              </w:tabs>
              <w:spacing w:line="360" w:lineRule="auto"/>
              <w:jc w:val="left"/>
              <w:rPr>
                <w:rFonts w:eastAsia="楷体_GB2312"/>
                <w:sz w:val="18"/>
                <w:lang w:val="en-GB"/>
              </w:rPr>
            </w:pPr>
            <w:r>
              <w:rPr>
                <w:rFonts w:eastAsia="楷体_GB2312"/>
                <w:sz w:val="18"/>
              </w:rPr>
              <w:t>3：累计违约率监控指标：【】%</w:t>
            </w:r>
          </w:p>
        </w:tc>
      </w:tr>
      <w:tr w14:paraId="5A3F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Borders>
              <w:top w:val="single" w:color="auto" w:sz="4" w:space="0"/>
              <w:left w:val="single" w:color="auto" w:sz="4" w:space="0"/>
              <w:bottom w:val="single" w:color="auto" w:sz="4" w:space="0"/>
              <w:right w:val="single" w:color="auto" w:sz="4" w:space="0"/>
            </w:tcBorders>
          </w:tcPr>
          <w:p w14:paraId="76A295B9">
            <w:pPr>
              <w:widowControl/>
              <w:tabs>
                <w:tab w:val="left" w:pos="780"/>
              </w:tabs>
              <w:spacing w:line="360" w:lineRule="auto"/>
              <w:rPr>
                <w:rFonts w:eastAsia="楷体_GB2312"/>
                <w:sz w:val="18"/>
                <w:lang w:val="en-GB"/>
              </w:rPr>
            </w:pPr>
            <w:r>
              <w:rPr>
                <w:rFonts w:eastAsia="楷体_GB2312"/>
                <w:sz w:val="18"/>
              </w:rPr>
              <w:t>4：经处置目前无拖欠：经过非诉讼类和诉讼类处置过程，借款人还清所欠款项，目前无拖欠。</w:t>
            </w:r>
          </w:p>
          <w:p w14:paraId="5656C7E7">
            <w:pPr>
              <w:widowControl/>
              <w:spacing w:line="360" w:lineRule="auto"/>
              <w:jc w:val="left"/>
              <w:rPr>
                <w:rFonts w:eastAsia="楷体_GB2312"/>
                <w:sz w:val="18"/>
              </w:rPr>
            </w:pPr>
            <w:r>
              <w:rPr>
                <w:rFonts w:eastAsia="楷体_GB2312"/>
                <w:sz w:val="18"/>
              </w:rPr>
              <w:t>5：非诉讼类处置：含催收、协议、仲裁等各种非诉讼方式。</w:t>
            </w:r>
          </w:p>
        </w:tc>
      </w:tr>
    </w:tbl>
    <w:p w14:paraId="5AAC6352">
      <w:pPr>
        <w:rPr>
          <w:rFonts w:eastAsia="楷体_GB2312"/>
        </w:rPr>
      </w:pPr>
    </w:p>
    <w:p w14:paraId="226B2592">
      <w:pPr>
        <w:rPr>
          <w:rFonts w:eastAsia="楷体_GB2312"/>
        </w:rPr>
      </w:pPr>
    </w:p>
    <w:p w14:paraId="038D1148">
      <w:pPr>
        <w:rPr>
          <w:rFonts w:eastAsia="楷体_GB2312"/>
        </w:rPr>
      </w:pPr>
    </w:p>
    <w:p w14:paraId="55DCB652">
      <w:pPr>
        <w:jc w:val="right"/>
        <w:rPr>
          <w:rFonts w:eastAsia="楷体_GB2312"/>
        </w:rPr>
      </w:pPr>
      <w:r>
        <w:rPr>
          <w:rFonts w:eastAsia="楷体_GB2312"/>
        </w:rPr>
        <w:t>【受托机构全称】（公章）</w:t>
      </w:r>
    </w:p>
    <w:p w14:paraId="0F4B465A">
      <w:pPr>
        <w:jc w:val="right"/>
        <w:rPr>
          <w:rFonts w:eastAsia="楷体_GB2312"/>
        </w:rPr>
      </w:pPr>
      <w:r>
        <w:rPr>
          <w:rFonts w:eastAsia="楷体_GB2312"/>
        </w:rPr>
        <w:t>【】年【】月【】日</w:t>
      </w:r>
    </w:p>
    <w:p w14:paraId="55D6A703">
      <w:pPr>
        <w:rPr>
          <w:rFonts w:eastAsia="楷体_GB2312"/>
        </w:rPr>
      </w:pPr>
      <w:r>
        <w:rPr>
          <w:rFonts w:eastAsia="楷体_GB2312"/>
        </w:rPr>
        <w:br w:type="page"/>
      </w:r>
    </w:p>
    <w:p w14:paraId="26D20066">
      <w:pPr>
        <w:spacing w:line="380" w:lineRule="exact"/>
        <w:outlineLvl w:val="0"/>
        <w:rPr>
          <w:rFonts w:eastAsia="楷体_GB2312"/>
          <w:b/>
          <w:sz w:val="24"/>
        </w:rPr>
      </w:pPr>
      <w:bookmarkStart w:id="896" w:name="_Toc23956"/>
      <w:bookmarkStart w:id="897" w:name="_Toc122623549"/>
      <w:bookmarkStart w:id="898" w:name="_Toc464810190"/>
      <w:bookmarkStart w:id="899" w:name="_Toc480365756"/>
      <w:bookmarkStart w:id="900" w:name="_Toc479603749"/>
      <w:bookmarkStart w:id="901" w:name="_Toc465885768"/>
      <w:bookmarkStart w:id="902" w:name="_Toc465862134"/>
      <w:bookmarkStart w:id="903" w:name="_Toc465800788"/>
      <w:bookmarkStart w:id="904" w:name="_Toc499714616"/>
      <w:bookmarkStart w:id="905" w:name="_Toc467513056"/>
      <w:bookmarkStart w:id="906" w:name="_Toc484177610"/>
      <w:r>
        <w:rPr>
          <w:rFonts w:eastAsia="楷体_GB2312"/>
          <w:b/>
          <w:sz w:val="24"/>
        </w:rPr>
        <w:t>附件十一：重大事件报告书</w:t>
      </w:r>
      <w:bookmarkEnd w:id="896"/>
    </w:p>
    <w:p w14:paraId="61660884">
      <w:pPr>
        <w:jc w:val="center"/>
        <w:rPr>
          <w:rFonts w:eastAsia="楷体_GB2312"/>
          <w:b/>
          <w:sz w:val="32"/>
          <w:szCs w:val="32"/>
        </w:rPr>
      </w:pPr>
      <w:r>
        <w:rPr>
          <w:rFonts w:eastAsia="楷体_GB2312"/>
          <w:b/>
          <w:sz w:val="32"/>
          <w:szCs w:val="32"/>
        </w:rPr>
        <w:t>【信托名称】</w:t>
      </w:r>
    </w:p>
    <w:p w14:paraId="2261AA63">
      <w:pPr>
        <w:spacing w:line="360" w:lineRule="auto"/>
        <w:jc w:val="center"/>
        <w:rPr>
          <w:rFonts w:eastAsia="楷体_GB2312"/>
          <w:b/>
          <w:color w:val="000000"/>
          <w:sz w:val="44"/>
        </w:rPr>
      </w:pPr>
      <w:r>
        <w:rPr>
          <w:rFonts w:eastAsia="楷体_GB2312"/>
          <w:b/>
          <w:sz w:val="32"/>
          <w:szCs w:val="32"/>
        </w:rPr>
        <w:t>重大事件报告书</w:t>
      </w:r>
    </w:p>
    <w:p w14:paraId="17D26A2A">
      <w:pPr>
        <w:spacing w:line="360" w:lineRule="auto"/>
        <w:jc w:val="center"/>
        <w:rPr>
          <w:rFonts w:eastAsia="楷体_GB2312"/>
          <w:b/>
          <w:color w:val="000000"/>
          <w:sz w:val="44"/>
        </w:rPr>
      </w:pPr>
    </w:p>
    <w:p w14:paraId="7E3F8AB2">
      <w:pPr>
        <w:spacing w:line="360" w:lineRule="auto"/>
        <w:rPr>
          <w:rFonts w:eastAsia="楷体_GB2312"/>
          <w:b/>
          <w:color w:val="000000"/>
        </w:rPr>
      </w:pPr>
    </w:p>
    <w:tbl>
      <w:tblPr>
        <w:tblStyle w:val="27"/>
        <w:tblW w:w="0" w:type="dxa"/>
        <w:jc w:val="center"/>
        <w:tblLayout w:type="fixed"/>
        <w:tblCellMar>
          <w:top w:w="0" w:type="dxa"/>
          <w:left w:w="0" w:type="dxa"/>
          <w:bottom w:w="0" w:type="dxa"/>
          <w:right w:w="0" w:type="dxa"/>
        </w:tblCellMar>
      </w:tblPr>
      <w:tblGrid>
        <w:gridCol w:w="6360"/>
      </w:tblGrid>
      <w:tr w14:paraId="0B9A2A1D">
        <w:tblPrEx>
          <w:tblCellMar>
            <w:top w:w="0" w:type="dxa"/>
            <w:left w:w="0" w:type="dxa"/>
            <w:bottom w:w="0" w:type="dxa"/>
            <w:right w:w="0" w:type="dxa"/>
          </w:tblCellMar>
        </w:tblPrEx>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66B8CCC4">
            <w:pPr>
              <w:spacing w:line="360" w:lineRule="auto"/>
              <w:jc w:val="center"/>
              <w:rPr>
                <w:rFonts w:eastAsia="楷体_GB2312"/>
                <w:b/>
                <w:color w:val="000000"/>
              </w:rPr>
            </w:pPr>
            <w:r>
              <w:rPr>
                <w:rFonts w:eastAsia="楷体_GB2312"/>
                <w:b/>
                <w:color w:val="000000"/>
              </w:rPr>
              <w:t>受托人声明</w:t>
            </w:r>
          </w:p>
          <w:p w14:paraId="5A947004">
            <w:pPr>
              <w:spacing w:line="360" w:lineRule="auto"/>
              <w:ind w:firstLine="402" w:firstLineChars="200"/>
              <w:rPr>
                <w:rFonts w:eastAsia="楷体_GB2312"/>
                <w:b/>
                <w:color w:val="000000"/>
              </w:rPr>
            </w:pPr>
            <w:r>
              <w:rPr>
                <w:rFonts w:eastAsia="楷体_GB2312"/>
                <w:b/>
                <w:color w:val="000000"/>
              </w:rPr>
              <w:t>受托人管理信托财产应恪尽职守，履行诚实、信用、谨慎、有效管理义务。依据信托合同约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344E5A26">
      <w:pPr>
        <w:spacing w:line="360" w:lineRule="auto"/>
        <w:jc w:val="center"/>
        <w:rPr>
          <w:rFonts w:eastAsia="楷体_GB2312"/>
          <w:b/>
          <w:color w:val="000000"/>
        </w:rPr>
      </w:pPr>
    </w:p>
    <w:tbl>
      <w:tblPr>
        <w:tblStyle w:val="27"/>
        <w:tblW w:w="0" w:type="dxa"/>
        <w:jc w:val="center"/>
        <w:tblLayout w:type="fixed"/>
        <w:tblCellMar>
          <w:top w:w="0" w:type="dxa"/>
          <w:left w:w="0" w:type="dxa"/>
          <w:bottom w:w="0" w:type="dxa"/>
          <w:right w:w="0" w:type="dxa"/>
        </w:tblCellMar>
      </w:tblPr>
      <w:tblGrid>
        <w:gridCol w:w="1680"/>
        <w:gridCol w:w="5670"/>
      </w:tblGrid>
      <w:tr w14:paraId="0F6ADA83">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3CE545D0">
            <w:pPr>
              <w:spacing w:line="360" w:lineRule="auto"/>
              <w:jc w:val="right"/>
              <w:rPr>
                <w:rFonts w:eastAsia="楷体_GB2312"/>
                <w:b/>
                <w:color w:val="000000"/>
              </w:rPr>
            </w:pPr>
            <w:r>
              <w:rPr>
                <w:rFonts w:eastAsia="楷体_GB2312"/>
                <w:b/>
                <w:color w:val="000000"/>
              </w:rPr>
              <w:t>受托人：</w:t>
            </w:r>
          </w:p>
        </w:tc>
        <w:tc>
          <w:tcPr>
            <w:tcW w:w="5670" w:type="dxa"/>
            <w:tcBorders>
              <w:top w:val="nil"/>
              <w:left w:val="nil"/>
              <w:bottom w:val="nil"/>
              <w:right w:val="nil"/>
            </w:tcBorders>
            <w:vAlign w:val="bottom"/>
          </w:tcPr>
          <w:p w14:paraId="42B40684">
            <w:pPr>
              <w:spacing w:line="360" w:lineRule="auto"/>
              <w:rPr>
                <w:rFonts w:eastAsia="楷体_GB2312"/>
                <w:b/>
                <w:color w:val="000000"/>
              </w:rPr>
            </w:pPr>
            <w:r>
              <w:rPr>
                <w:rFonts w:eastAsia="楷体_GB2312"/>
                <w:b/>
                <w:color w:val="000000"/>
              </w:rPr>
              <w:t>【受托机构全称】</w:t>
            </w:r>
          </w:p>
        </w:tc>
      </w:tr>
      <w:tr w14:paraId="358BAF90">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114D7DED">
            <w:pPr>
              <w:spacing w:line="360" w:lineRule="auto"/>
              <w:jc w:val="right"/>
              <w:rPr>
                <w:rFonts w:eastAsia="楷体_GB2312"/>
                <w:b/>
                <w:color w:val="000000"/>
              </w:rPr>
            </w:pPr>
            <w:r>
              <w:rPr>
                <w:rFonts w:eastAsia="楷体_GB2312"/>
                <w:b/>
                <w:color w:val="000000"/>
              </w:rPr>
              <w:t>报告日期：</w:t>
            </w:r>
          </w:p>
        </w:tc>
        <w:tc>
          <w:tcPr>
            <w:tcW w:w="5670" w:type="dxa"/>
            <w:tcBorders>
              <w:top w:val="nil"/>
              <w:left w:val="nil"/>
              <w:bottom w:val="nil"/>
              <w:right w:val="nil"/>
            </w:tcBorders>
            <w:vAlign w:val="bottom"/>
          </w:tcPr>
          <w:p w14:paraId="64E4B8A0">
            <w:pPr>
              <w:spacing w:line="360" w:lineRule="auto"/>
              <w:rPr>
                <w:rFonts w:eastAsia="楷体_GB2312"/>
                <w:b/>
                <w:color w:val="000000"/>
              </w:rPr>
            </w:pPr>
            <w:r>
              <w:rPr>
                <w:rFonts w:eastAsia="楷体_GB2312"/>
                <w:b/>
                <w:color w:val="000000"/>
              </w:rPr>
              <w:t>20XX年XX月XX日</w:t>
            </w:r>
          </w:p>
        </w:tc>
      </w:tr>
      <w:tr w14:paraId="6F249928">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ADAEE32">
            <w:pPr>
              <w:spacing w:line="360" w:lineRule="auto"/>
              <w:jc w:val="right"/>
              <w:rPr>
                <w:rFonts w:eastAsia="楷体_GB2312"/>
                <w:b/>
                <w:color w:val="000000"/>
              </w:rPr>
            </w:pPr>
          </w:p>
        </w:tc>
        <w:tc>
          <w:tcPr>
            <w:tcW w:w="5670" w:type="dxa"/>
            <w:tcBorders>
              <w:top w:val="nil"/>
              <w:left w:val="nil"/>
              <w:bottom w:val="nil"/>
              <w:right w:val="nil"/>
            </w:tcBorders>
            <w:vAlign w:val="bottom"/>
          </w:tcPr>
          <w:p w14:paraId="4BF0C78F">
            <w:pPr>
              <w:spacing w:line="360" w:lineRule="auto"/>
              <w:rPr>
                <w:rFonts w:eastAsia="楷体_GB2312"/>
                <w:b/>
                <w:color w:val="000000"/>
              </w:rPr>
            </w:pPr>
          </w:p>
        </w:tc>
      </w:tr>
      <w:tr w14:paraId="21696AA7">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6A14760F">
            <w:pPr>
              <w:spacing w:line="360" w:lineRule="auto"/>
              <w:jc w:val="right"/>
              <w:rPr>
                <w:rFonts w:eastAsia="楷体_GB2312"/>
                <w:b/>
                <w:color w:val="000000"/>
              </w:rPr>
            </w:pPr>
          </w:p>
        </w:tc>
        <w:tc>
          <w:tcPr>
            <w:tcW w:w="5670" w:type="dxa"/>
            <w:tcBorders>
              <w:top w:val="nil"/>
              <w:left w:val="nil"/>
              <w:bottom w:val="nil"/>
              <w:right w:val="nil"/>
            </w:tcBorders>
            <w:vAlign w:val="bottom"/>
          </w:tcPr>
          <w:p w14:paraId="2E021842">
            <w:pPr>
              <w:spacing w:line="360" w:lineRule="auto"/>
              <w:rPr>
                <w:rFonts w:eastAsia="楷体_GB2312"/>
                <w:b/>
                <w:color w:val="000000"/>
              </w:rPr>
            </w:pPr>
          </w:p>
        </w:tc>
      </w:tr>
      <w:tr w14:paraId="5D202278">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642D57DE">
            <w:pPr>
              <w:spacing w:line="360" w:lineRule="auto"/>
              <w:jc w:val="right"/>
              <w:rPr>
                <w:rFonts w:eastAsia="楷体_GB2312"/>
                <w:b/>
                <w:color w:val="000000"/>
              </w:rPr>
            </w:pPr>
            <w:r>
              <w:rPr>
                <w:rFonts w:eastAsia="楷体_GB2312"/>
                <w:b/>
                <w:color w:val="000000"/>
              </w:rPr>
              <w:t>受托人地址：</w:t>
            </w:r>
          </w:p>
        </w:tc>
        <w:tc>
          <w:tcPr>
            <w:tcW w:w="5670" w:type="dxa"/>
            <w:tcBorders>
              <w:top w:val="nil"/>
              <w:left w:val="nil"/>
              <w:bottom w:val="nil"/>
              <w:right w:val="nil"/>
            </w:tcBorders>
            <w:vAlign w:val="bottom"/>
          </w:tcPr>
          <w:p w14:paraId="3A90B943">
            <w:pPr>
              <w:spacing w:line="360" w:lineRule="auto"/>
              <w:rPr>
                <w:rFonts w:eastAsia="楷体_GB2312"/>
                <w:color w:val="000000"/>
              </w:rPr>
            </w:pPr>
          </w:p>
        </w:tc>
      </w:tr>
      <w:tr w14:paraId="3D5A82A4">
        <w:tblPrEx>
          <w:tblCellMar>
            <w:top w:w="0" w:type="dxa"/>
            <w:left w:w="0" w:type="dxa"/>
            <w:bottom w:w="0" w:type="dxa"/>
            <w:right w:w="0" w:type="dxa"/>
          </w:tblCellMar>
        </w:tblPrEx>
        <w:trPr>
          <w:trHeight w:val="531" w:hRule="atLeast"/>
          <w:jc w:val="center"/>
        </w:trPr>
        <w:tc>
          <w:tcPr>
            <w:tcW w:w="1680" w:type="dxa"/>
            <w:tcBorders>
              <w:top w:val="nil"/>
              <w:left w:val="nil"/>
              <w:bottom w:val="nil"/>
              <w:right w:val="nil"/>
            </w:tcBorders>
            <w:vAlign w:val="bottom"/>
          </w:tcPr>
          <w:p w14:paraId="34D73B59">
            <w:pPr>
              <w:spacing w:line="360" w:lineRule="auto"/>
              <w:jc w:val="right"/>
              <w:rPr>
                <w:rFonts w:eastAsia="楷体_GB2312"/>
                <w:b/>
                <w:color w:val="000000"/>
              </w:rPr>
            </w:pPr>
            <w:r>
              <w:rPr>
                <w:rFonts w:eastAsia="楷体_GB2312"/>
                <w:b/>
                <w:color w:val="000000"/>
              </w:rPr>
              <w:t>电话：</w:t>
            </w:r>
          </w:p>
        </w:tc>
        <w:tc>
          <w:tcPr>
            <w:tcW w:w="5670" w:type="dxa"/>
            <w:tcBorders>
              <w:top w:val="nil"/>
              <w:left w:val="nil"/>
              <w:bottom w:val="nil"/>
              <w:right w:val="nil"/>
            </w:tcBorders>
            <w:vAlign w:val="bottom"/>
          </w:tcPr>
          <w:p w14:paraId="400C926F">
            <w:pPr>
              <w:spacing w:line="360" w:lineRule="auto"/>
              <w:rPr>
                <w:rFonts w:eastAsia="楷体_GB2312"/>
                <w:b/>
                <w:color w:val="000000"/>
              </w:rPr>
            </w:pPr>
          </w:p>
        </w:tc>
      </w:tr>
      <w:tr w14:paraId="335DF0E4">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5452B102">
            <w:pPr>
              <w:spacing w:line="360" w:lineRule="auto"/>
              <w:jc w:val="right"/>
              <w:rPr>
                <w:rFonts w:eastAsia="楷体_GB2312"/>
                <w:b/>
                <w:color w:val="000000"/>
              </w:rPr>
            </w:pPr>
            <w:r>
              <w:rPr>
                <w:rFonts w:eastAsia="楷体_GB2312"/>
                <w:b/>
                <w:color w:val="000000"/>
              </w:rPr>
              <w:t>传真：</w:t>
            </w:r>
          </w:p>
        </w:tc>
        <w:tc>
          <w:tcPr>
            <w:tcW w:w="5670" w:type="dxa"/>
            <w:tcBorders>
              <w:top w:val="nil"/>
              <w:left w:val="nil"/>
              <w:bottom w:val="nil"/>
              <w:right w:val="nil"/>
            </w:tcBorders>
            <w:vAlign w:val="bottom"/>
          </w:tcPr>
          <w:p w14:paraId="035D74FE">
            <w:pPr>
              <w:spacing w:line="360" w:lineRule="auto"/>
              <w:rPr>
                <w:rFonts w:eastAsia="楷体_GB2312"/>
                <w:b/>
                <w:color w:val="000000"/>
              </w:rPr>
            </w:pPr>
          </w:p>
        </w:tc>
      </w:tr>
      <w:tr w14:paraId="49AEFB16">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35EF32A5">
            <w:pPr>
              <w:spacing w:line="360" w:lineRule="auto"/>
              <w:jc w:val="right"/>
              <w:rPr>
                <w:rFonts w:eastAsia="楷体_GB2312"/>
                <w:b/>
                <w:color w:val="000000"/>
              </w:rPr>
            </w:pPr>
            <w:r>
              <w:rPr>
                <w:rFonts w:eastAsia="楷体_GB2312"/>
                <w:b/>
                <w:color w:val="000000"/>
              </w:rPr>
              <w:t>公司网址：</w:t>
            </w:r>
          </w:p>
        </w:tc>
        <w:tc>
          <w:tcPr>
            <w:tcW w:w="5670" w:type="dxa"/>
            <w:tcBorders>
              <w:top w:val="nil"/>
              <w:left w:val="nil"/>
              <w:bottom w:val="nil"/>
              <w:right w:val="nil"/>
            </w:tcBorders>
            <w:vAlign w:val="bottom"/>
          </w:tcPr>
          <w:p w14:paraId="3476B949">
            <w:pPr>
              <w:spacing w:line="360" w:lineRule="auto"/>
              <w:rPr>
                <w:rFonts w:eastAsia="楷体_GB2312"/>
                <w:b/>
                <w:color w:val="000000"/>
              </w:rPr>
            </w:pPr>
          </w:p>
        </w:tc>
      </w:tr>
      <w:tr w14:paraId="0AEE3CD8">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58E36577">
            <w:pPr>
              <w:spacing w:line="360" w:lineRule="auto"/>
              <w:jc w:val="right"/>
              <w:rPr>
                <w:rFonts w:eastAsia="楷体_GB2312"/>
                <w:b/>
                <w:color w:val="000000"/>
              </w:rPr>
            </w:pPr>
            <w:r>
              <w:rPr>
                <w:rFonts w:eastAsia="楷体_GB2312"/>
                <w:b/>
                <w:color w:val="000000"/>
              </w:rPr>
              <w:t>电子邮件：</w:t>
            </w:r>
          </w:p>
        </w:tc>
        <w:tc>
          <w:tcPr>
            <w:tcW w:w="5670" w:type="dxa"/>
            <w:tcBorders>
              <w:top w:val="nil"/>
              <w:left w:val="nil"/>
              <w:bottom w:val="nil"/>
              <w:right w:val="nil"/>
            </w:tcBorders>
            <w:vAlign w:val="bottom"/>
          </w:tcPr>
          <w:p w14:paraId="26B86458">
            <w:pPr>
              <w:spacing w:line="360" w:lineRule="auto"/>
              <w:rPr>
                <w:rFonts w:eastAsia="楷体_GB2312"/>
                <w:b/>
                <w:color w:val="000000"/>
              </w:rPr>
            </w:pPr>
          </w:p>
        </w:tc>
      </w:tr>
    </w:tbl>
    <w:p w14:paraId="70A0D8C6">
      <w:pPr>
        <w:spacing w:line="360" w:lineRule="auto"/>
        <w:rPr>
          <w:rFonts w:eastAsia="楷体_GB2312"/>
          <w:color w:val="000000"/>
          <w:sz w:val="32"/>
        </w:rPr>
      </w:pPr>
    </w:p>
    <w:p w14:paraId="65A90782">
      <w:pPr>
        <w:rPr>
          <w:rFonts w:eastAsia="楷体_GB2312"/>
        </w:rPr>
      </w:pPr>
      <w:r>
        <w:rPr>
          <w:rFonts w:eastAsia="楷体_GB2312"/>
        </w:rPr>
        <w:br w:type="page"/>
      </w:r>
    </w:p>
    <w:tbl>
      <w:tblPr>
        <w:tblStyle w:val="27"/>
        <w:tblW w:w="879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30"/>
        <w:gridCol w:w="1106"/>
        <w:gridCol w:w="4859"/>
      </w:tblGrid>
      <w:tr w14:paraId="199DE3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5" w:type="dxa"/>
            <w:gridSpan w:val="3"/>
            <w:tcBorders>
              <w:bottom w:val="single" w:color="auto" w:sz="4" w:space="0"/>
            </w:tcBorders>
          </w:tcPr>
          <w:p w14:paraId="2091EF81">
            <w:pPr>
              <w:spacing w:line="360" w:lineRule="auto"/>
              <w:jc w:val="center"/>
              <w:rPr>
                <w:rFonts w:eastAsia="楷体_GB2312"/>
                <w:b/>
                <w:color w:val="000000"/>
                <w:sz w:val="28"/>
              </w:rPr>
            </w:pPr>
            <w:r>
              <w:rPr>
                <w:rFonts w:eastAsia="楷体_GB2312"/>
                <w:b/>
                <w:color w:val="000000"/>
                <w:sz w:val="28"/>
              </w:rPr>
              <w:t>【信托名称】重大事件报告书</w:t>
            </w:r>
          </w:p>
        </w:tc>
      </w:tr>
      <w:tr w14:paraId="03CCB7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9223CB2">
            <w:pPr>
              <w:spacing w:line="360" w:lineRule="auto"/>
              <w:jc w:val="left"/>
              <w:rPr>
                <w:rFonts w:eastAsia="楷体_GB2312"/>
                <w:b/>
                <w:color w:val="000000"/>
              </w:rPr>
            </w:pPr>
            <w:r>
              <w:rPr>
                <w:rFonts w:eastAsia="楷体_GB2312"/>
                <w:b/>
                <w:color w:val="000000"/>
              </w:rPr>
              <w:t>事项</w:t>
            </w:r>
          </w:p>
        </w:tc>
        <w:tc>
          <w:tcPr>
            <w:tcW w:w="1106" w:type="dxa"/>
            <w:tcBorders>
              <w:top w:val="single" w:color="auto" w:sz="4" w:space="0"/>
              <w:left w:val="single" w:color="auto" w:sz="4" w:space="0"/>
              <w:bottom w:val="single" w:color="auto" w:sz="4" w:space="0"/>
              <w:right w:val="single" w:color="auto" w:sz="4" w:space="0"/>
            </w:tcBorders>
          </w:tcPr>
          <w:p w14:paraId="117F6DB5">
            <w:pPr>
              <w:spacing w:line="360" w:lineRule="auto"/>
              <w:jc w:val="center"/>
              <w:rPr>
                <w:rFonts w:eastAsia="楷体_GB2312"/>
                <w:b/>
                <w:color w:val="000000"/>
              </w:rPr>
            </w:pPr>
            <w:r>
              <w:rPr>
                <w:rFonts w:eastAsia="楷体_GB2312"/>
                <w:b/>
                <w:color w:val="000000"/>
              </w:rPr>
              <w:t>是否发生</w:t>
            </w:r>
          </w:p>
        </w:tc>
        <w:tc>
          <w:tcPr>
            <w:tcW w:w="4859" w:type="dxa"/>
            <w:tcBorders>
              <w:top w:val="single" w:color="auto" w:sz="4" w:space="0"/>
              <w:left w:val="single" w:color="auto" w:sz="4" w:space="0"/>
              <w:bottom w:val="single" w:color="auto" w:sz="4" w:space="0"/>
            </w:tcBorders>
          </w:tcPr>
          <w:p w14:paraId="60A06197">
            <w:pPr>
              <w:spacing w:line="360" w:lineRule="auto"/>
              <w:jc w:val="center"/>
              <w:rPr>
                <w:rFonts w:eastAsia="楷体_GB2312"/>
                <w:b/>
                <w:color w:val="000000"/>
              </w:rPr>
            </w:pPr>
            <w:r>
              <w:rPr>
                <w:rFonts w:eastAsia="楷体_GB2312"/>
                <w:b/>
                <w:color w:val="000000"/>
              </w:rPr>
              <w:t>备注</w:t>
            </w:r>
          </w:p>
        </w:tc>
      </w:tr>
      <w:tr w14:paraId="03BC5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FA759B9">
            <w:pPr>
              <w:spacing w:line="360" w:lineRule="auto"/>
              <w:rPr>
                <w:rFonts w:eastAsia="楷体_GB2312"/>
                <w:color w:val="000000"/>
              </w:rPr>
            </w:pPr>
            <w:r>
              <w:rPr>
                <w:rFonts w:eastAsia="楷体_GB2312"/>
                <w:lang w:eastAsia="zh-TW"/>
              </w:rPr>
              <w:t>1.加速清偿事件</w:t>
            </w:r>
          </w:p>
        </w:tc>
        <w:tc>
          <w:tcPr>
            <w:tcW w:w="1106" w:type="dxa"/>
            <w:tcBorders>
              <w:top w:val="single" w:color="auto" w:sz="4" w:space="0"/>
              <w:left w:val="single" w:color="auto" w:sz="4" w:space="0"/>
              <w:bottom w:val="single" w:color="auto" w:sz="4" w:space="0"/>
              <w:right w:val="single" w:color="auto" w:sz="4" w:space="0"/>
            </w:tcBorders>
          </w:tcPr>
          <w:p w14:paraId="3229F3F6">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0E80F179">
            <w:pPr>
              <w:spacing w:line="360" w:lineRule="auto"/>
              <w:jc w:val="center"/>
              <w:rPr>
                <w:rFonts w:eastAsia="楷体_GB2312"/>
                <w:color w:val="000000"/>
                <w:sz w:val="18"/>
              </w:rPr>
            </w:pPr>
          </w:p>
        </w:tc>
      </w:tr>
      <w:tr w14:paraId="2E998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C91F412">
            <w:pPr>
              <w:spacing w:line="360" w:lineRule="auto"/>
              <w:rPr>
                <w:rFonts w:eastAsia="楷体_GB2312"/>
                <w:color w:val="000000"/>
              </w:rPr>
            </w:pPr>
            <w:r>
              <w:rPr>
                <w:rFonts w:eastAsia="楷体_GB2312"/>
                <w:lang w:eastAsia="zh-TW"/>
              </w:rPr>
              <w:t>2.违约事件</w:t>
            </w:r>
          </w:p>
        </w:tc>
        <w:tc>
          <w:tcPr>
            <w:tcW w:w="1106" w:type="dxa"/>
            <w:tcBorders>
              <w:top w:val="single" w:color="auto" w:sz="4" w:space="0"/>
              <w:left w:val="single" w:color="auto" w:sz="4" w:space="0"/>
              <w:bottom w:val="single" w:color="auto" w:sz="4" w:space="0"/>
              <w:right w:val="single" w:color="auto" w:sz="4" w:space="0"/>
            </w:tcBorders>
          </w:tcPr>
          <w:p w14:paraId="364D582A">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503C2663">
            <w:pPr>
              <w:spacing w:line="360" w:lineRule="auto"/>
              <w:jc w:val="center"/>
              <w:rPr>
                <w:rFonts w:eastAsia="楷体_GB2312"/>
                <w:color w:val="000000"/>
                <w:sz w:val="18"/>
              </w:rPr>
            </w:pPr>
          </w:p>
        </w:tc>
      </w:tr>
      <w:tr w14:paraId="7BE7A9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34524F2">
            <w:pPr>
              <w:spacing w:line="360" w:lineRule="auto"/>
              <w:rPr>
                <w:rFonts w:eastAsia="楷体_GB2312"/>
                <w:color w:val="000000"/>
              </w:rPr>
            </w:pPr>
            <w:r>
              <w:rPr>
                <w:rFonts w:eastAsia="楷体_GB2312"/>
                <w:lang w:eastAsia="zh-TW"/>
              </w:rPr>
              <w:t>3.权利完善事件</w:t>
            </w:r>
            <w:r>
              <w:rPr>
                <w:rFonts w:hint="eastAsia" w:eastAsia="楷体_GB2312"/>
              </w:rPr>
              <w:t>/</w:t>
            </w:r>
            <w:r>
              <w:rPr>
                <w:rFonts w:eastAsia="楷体_GB2312"/>
              </w:rPr>
              <w:t>个别通知事件</w:t>
            </w:r>
          </w:p>
        </w:tc>
        <w:tc>
          <w:tcPr>
            <w:tcW w:w="1106" w:type="dxa"/>
            <w:tcBorders>
              <w:top w:val="single" w:color="auto" w:sz="4" w:space="0"/>
              <w:left w:val="single" w:color="auto" w:sz="4" w:space="0"/>
              <w:bottom w:val="single" w:color="auto" w:sz="4" w:space="0"/>
              <w:right w:val="single" w:color="auto" w:sz="4" w:space="0"/>
            </w:tcBorders>
          </w:tcPr>
          <w:p w14:paraId="1EA72E3C">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0EA570DE">
            <w:pPr>
              <w:spacing w:line="360" w:lineRule="auto"/>
              <w:jc w:val="center"/>
              <w:rPr>
                <w:rFonts w:eastAsia="楷体_GB2312"/>
                <w:color w:val="000000"/>
                <w:sz w:val="18"/>
              </w:rPr>
            </w:pPr>
          </w:p>
        </w:tc>
      </w:tr>
      <w:tr w14:paraId="521A50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7CA52E44">
            <w:pPr>
              <w:spacing w:line="360" w:lineRule="auto"/>
              <w:rPr>
                <w:rFonts w:eastAsia="楷体_GB2312"/>
                <w:color w:val="000000"/>
              </w:rPr>
            </w:pPr>
            <w:r>
              <w:rPr>
                <w:rFonts w:hint="eastAsia" w:eastAsia="楷体_GB2312"/>
              </w:rPr>
              <w:t>4</w:t>
            </w:r>
            <w:r>
              <w:rPr>
                <w:rFonts w:eastAsia="楷体_GB2312"/>
                <w:lang w:eastAsia="zh-TW"/>
              </w:rPr>
              <w:t>.赎回</w:t>
            </w:r>
          </w:p>
        </w:tc>
        <w:tc>
          <w:tcPr>
            <w:tcW w:w="1106" w:type="dxa"/>
            <w:tcBorders>
              <w:top w:val="single" w:color="auto" w:sz="4" w:space="0"/>
              <w:left w:val="single" w:color="auto" w:sz="4" w:space="0"/>
              <w:bottom w:val="single" w:color="auto" w:sz="4" w:space="0"/>
              <w:right w:val="single" w:color="auto" w:sz="4" w:space="0"/>
            </w:tcBorders>
          </w:tcPr>
          <w:p w14:paraId="67ECD705">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0401BF73">
            <w:pPr>
              <w:spacing w:line="360" w:lineRule="auto"/>
              <w:jc w:val="center"/>
              <w:rPr>
                <w:rFonts w:eastAsia="楷体_GB2312"/>
                <w:color w:val="000000"/>
                <w:sz w:val="18"/>
              </w:rPr>
            </w:pPr>
          </w:p>
        </w:tc>
      </w:tr>
      <w:tr w14:paraId="7F513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67EFD09">
            <w:pPr>
              <w:spacing w:line="360" w:lineRule="auto"/>
              <w:rPr>
                <w:rFonts w:eastAsia="楷体_GB2312"/>
                <w:color w:val="000000"/>
              </w:rPr>
            </w:pPr>
            <w:r>
              <w:rPr>
                <w:rFonts w:hint="eastAsia" w:eastAsia="楷体_GB2312"/>
              </w:rPr>
              <w:t>5</w:t>
            </w:r>
            <w:r>
              <w:rPr>
                <w:rFonts w:eastAsia="楷体_GB2312"/>
                <w:lang w:eastAsia="zh-TW"/>
              </w:rPr>
              <w:t>.清仓回购</w:t>
            </w:r>
          </w:p>
        </w:tc>
        <w:tc>
          <w:tcPr>
            <w:tcW w:w="1106" w:type="dxa"/>
            <w:tcBorders>
              <w:top w:val="single" w:color="auto" w:sz="4" w:space="0"/>
              <w:left w:val="single" w:color="auto" w:sz="4" w:space="0"/>
              <w:bottom w:val="single" w:color="auto" w:sz="4" w:space="0"/>
              <w:right w:val="single" w:color="auto" w:sz="4" w:space="0"/>
            </w:tcBorders>
          </w:tcPr>
          <w:p w14:paraId="60BE2014">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78E188FC">
            <w:pPr>
              <w:spacing w:line="360" w:lineRule="auto"/>
              <w:jc w:val="center"/>
              <w:rPr>
                <w:rFonts w:eastAsia="楷体_GB2312"/>
                <w:color w:val="000000"/>
                <w:sz w:val="18"/>
              </w:rPr>
            </w:pPr>
          </w:p>
        </w:tc>
      </w:tr>
      <w:tr w14:paraId="6FF159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9BA430B">
            <w:pPr>
              <w:spacing w:line="360" w:lineRule="auto"/>
              <w:rPr>
                <w:rFonts w:eastAsia="楷体_GB2312"/>
                <w:color w:val="000000"/>
              </w:rPr>
            </w:pPr>
            <w:r>
              <w:rPr>
                <w:rFonts w:hint="eastAsia" w:eastAsia="楷体_GB2312"/>
              </w:rPr>
              <w:t>6</w:t>
            </w:r>
            <w:r>
              <w:rPr>
                <w:rFonts w:eastAsia="楷体_GB2312"/>
                <w:lang w:eastAsia="zh-TW"/>
              </w:rPr>
              <w:t>.丧失清偿能力事件</w:t>
            </w:r>
          </w:p>
        </w:tc>
        <w:tc>
          <w:tcPr>
            <w:tcW w:w="1106" w:type="dxa"/>
            <w:tcBorders>
              <w:top w:val="single" w:color="auto" w:sz="4" w:space="0"/>
              <w:left w:val="single" w:color="auto" w:sz="4" w:space="0"/>
              <w:bottom w:val="single" w:color="auto" w:sz="4" w:space="0"/>
              <w:right w:val="single" w:color="auto" w:sz="4" w:space="0"/>
            </w:tcBorders>
          </w:tcPr>
          <w:p w14:paraId="29AADBEF">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AC4189F">
            <w:pPr>
              <w:spacing w:line="360" w:lineRule="auto"/>
              <w:jc w:val="center"/>
              <w:rPr>
                <w:rFonts w:eastAsia="楷体_GB2312"/>
                <w:color w:val="000000"/>
                <w:sz w:val="18"/>
              </w:rPr>
            </w:pPr>
          </w:p>
        </w:tc>
      </w:tr>
      <w:tr w14:paraId="20E42D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1E6F858D">
            <w:pPr>
              <w:spacing w:line="360" w:lineRule="auto"/>
              <w:rPr>
                <w:rFonts w:eastAsia="楷体_GB2312"/>
                <w:color w:val="000000"/>
              </w:rPr>
            </w:pPr>
            <w:r>
              <w:rPr>
                <w:rFonts w:hint="eastAsia" w:eastAsia="楷体_GB2312"/>
              </w:rPr>
              <w:t>7</w:t>
            </w:r>
            <w:r>
              <w:rPr>
                <w:rFonts w:eastAsia="楷体_GB2312"/>
              </w:rPr>
              <w:t>.受托机构终止事件</w:t>
            </w:r>
          </w:p>
        </w:tc>
        <w:tc>
          <w:tcPr>
            <w:tcW w:w="1106" w:type="dxa"/>
            <w:tcBorders>
              <w:top w:val="single" w:color="auto" w:sz="4" w:space="0"/>
              <w:left w:val="single" w:color="auto" w:sz="4" w:space="0"/>
              <w:bottom w:val="single" w:color="auto" w:sz="4" w:space="0"/>
              <w:right w:val="single" w:color="auto" w:sz="4" w:space="0"/>
            </w:tcBorders>
          </w:tcPr>
          <w:p w14:paraId="37632EEA">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730BA5CA">
            <w:pPr>
              <w:spacing w:line="360" w:lineRule="auto"/>
              <w:jc w:val="center"/>
              <w:rPr>
                <w:rFonts w:eastAsia="楷体_GB2312"/>
                <w:color w:val="000000"/>
                <w:sz w:val="18"/>
              </w:rPr>
            </w:pPr>
          </w:p>
        </w:tc>
      </w:tr>
      <w:tr w14:paraId="002039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CC45909">
            <w:pPr>
              <w:spacing w:line="360" w:lineRule="auto"/>
              <w:rPr>
                <w:rFonts w:eastAsia="楷体_GB2312"/>
                <w:color w:val="000000"/>
                <w:sz w:val="18"/>
              </w:rPr>
            </w:pPr>
            <w:r>
              <w:rPr>
                <w:rFonts w:hint="eastAsia" w:eastAsia="楷体_GB2312"/>
              </w:rPr>
              <w:t>8</w:t>
            </w:r>
            <w:r>
              <w:rPr>
                <w:rFonts w:eastAsia="楷体_GB2312"/>
              </w:rPr>
              <w:t>.重大不利变化</w:t>
            </w:r>
          </w:p>
        </w:tc>
        <w:tc>
          <w:tcPr>
            <w:tcW w:w="1106" w:type="dxa"/>
            <w:tcBorders>
              <w:top w:val="single" w:color="auto" w:sz="4" w:space="0"/>
              <w:left w:val="single" w:color="auto" w:sz="4" w:space="0"/>
              <w:bottom w:val="single" w:color="auto" w:sz="4" w:space="0"/>
              <w:right w:val="single" w:color="auto" w:sz="4" w:space="0"/>
            </w:tcBorders>
          </w:tcPr>
          <w:p w14:paraId="43989539">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4FA1755C">
            <w:pPr>
              <w:spacing w:line="360" w:lineRule="auto"/>
              <w:jc w:val="center"/>
              <w:rPr>
                <w:rFonts w:eastAsia="楷体_GB2312"/>
                <w:color w:val="000000"/>
                <w:sz w:val="18"/>
              </w:rPr>
            </w:pPr>
          </w:p>
        </w:tc>
      </w:tr>
      <w:tr w14:paraId="70FED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F496B69">
            <w:pPr>
              <w:spacing w:line="360" w:lineRule="auto"/>
              <w:rPr>
                <w:rFonts w:eastAsia="楷体_GB2312"/>
                <w:color w:val="000000"/>
                <w:sz w:val="18"/>
              </w:rPr>
            </w:pPr>
            <w:r>
              <w:rPr>
                <w:rFonts w:hint="eastAsia" w:eastAsia="楷体_GB2312"/>
              </w:rPr>
              <w:t>9</w:t>
            </w:r>
            <w:r>
              <w:rPr>
                <w:rFonts w:eastAsia="楷体_GB2312"/>
                <w:lang w:eastAsia="zh-TW"/>
              </w:rPr>
              <w:t>.重大不利影响</w:t>
            </w:r>
          </w:p>
        </w:tc>
        <w:tc>
          <w:tcPr>
            <w:tcW w:w="1106" w:type="dxa"/>
            <w:tcBorders>
              <w:top w:val="single" w:color="auto" w:sz="4" w:space="0"/>
              <w:left w:val="single" w:color="auto" w:sz="4" w:space="0"/>
              <w:bottom w:val="single" w:color="auto" w:sz="4" w:space="0"/>
              <w:right w:val="single" w:color="auto" w:sz="4" w:space="0"/>
            </w:tcBorders>
          </w:tcPr>
          <w:p w14:paraId="6EAA8B89">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FB800AE">
            <w:pPr>
              <w:spacing w:line="360" w:lineRule="auto"/>
              <w:jc w:val="center"/>
              <w:rPr>
                <w:rFonts w:eastAsia="楷体_GB2312"/>
                <w:color w:val="000000"/>
                <w:sz w:val="18"/>
              </w:rPr>
            </w:pPr>
          </w:p>
        </w:tc>
      </w:tr>
      <w:tr w14:paraId="77B9DC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7C26FC6E">
            <w:pPr>
              <w:spacing w:line="360" w:lineRule="auto"/>
              <w:rPr>
                <w:rFonts w:eastAsia="楷体_GB2312"/>
                <w:color w:val="000000"/>
              </w:rPr>
            </w:pPr>
            <w:r>
              <w:rPr>
                <w:rFonts w:eastAsia="楷体_GB2312"/>
              </w:rPr>
              <w:t>1</w:t>
            </w:r>
            <w:r>
              <w:rPr>
                <w:rFonts w:hint="eastAsia" w:eastAsia="楷体_GB2312"/>
              </w:rPr>
              <w:t>0</w:t>
            </w:r>
            <w:r>
              <w:rPr>
                <w:rFonts w:eastAsia="楷体_GB2312"/>
              </w:rPr>
              <w:t>.受托人解任事件</w:t>
            </w:r>
          </w:p>
        </w:tc>
        <w:tc>
          <w:tcPr>
            <w:tcW w:w="1106" w:type="dxa"/>
            <w:tcBorders>
              <w:top w:val="single" w:color="auto" w:sz="4" w:space="0"/>
              <w:left w:val="single" w:color="auto" w:sz="4" w:space="0"/>
              <w:bottom w:val="single" w:color="auto" w:sz="4" w:space="0"/>
              <w:right w:val="single" w:color="auto" w:sz="4" w:space="0"/>
            </w:tcBorders>
          </w:tcPr>
          <w:p w14:paraId="7EAEFF78">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A8B9402">
            <w:pPr>
              <w:spacing w:line="360" w:lineRule="auto"/>
              <w:jc w:val="center"/>
              <w:rPr>
                <w:rFonts w:eastAsia="楷体_GB2312"/>
                <w:color w:val="000000"/>
                <w:sz w:val="18"/>
              </w:rPr>
            </w:pPr>
          </w:p>
        </w:tc>
      </w:tr>
      <w:tr w14:paraId="5D8BD0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304C26AA">
            <w:pPr>
              <w:spacing w:line="360" w:lineRule="auto"/>
              <w:rPr>
                <w:rFonts w:eastAsia="楷体_GB2312"/>
                <w:color w:val="000000"/>
              </w:rPr>
            </w:pPr>
            <w:r>
              <w:rPr>
                <w:rFonts w:eastAsia="楷体_GB2312"/>
              </w:rPr>
              <w:t>1</w:t>
            </w:r>
            <w:r>
              <w:rPr>
                <w:rFonts w:hint="eastAsia" w:eastAsia="楷体_GB2312"/>
              </w:rPr>
              <w:t>1</w:t>
            </w:r>
            <w:r>
              <w:rPr>
                <w:rFonts w:eastAsia="楷体_GB2312"/>
              </w:rPr>
              <w:t>.贷款服务机构解任事件</w:t>
            </w:r>
          </w:p>
        </w:tc>
        <w:tc>
          <w:tcPr>
            <w:tcW w:w="1106" w:type="dxa"/>
            <w:tcBorders>
              <w:top w:val="single" w:color="auto" w:sz="4" w:space="0"/>
              <w:left w:val="single" w:color="auto" w:sz="4" w:space="0"/>
              <w:bottom w:val="single" w:color="auto" w:sz="4" w:space="0"/>
              <w:right w:val="single" w:color="auto" w:sz="4" w:space="0"/>
            </w:tcBorders>
          </w:tcPr>
          <w:p w14:paraId="7474026C">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218DF20E">
            <w:pPr>
              <w:spacing w:line="360" w:lineRule="auto"/>
              <w:jc w:val="center"/>
              <w:rPr>
                <w:rFonts w:eastAsia="楷体_GB2312"/>
                <w:color w:val="000000"/>
                <w:sz w:val="18"/>
              </w:rPr>
            </w:pPr>
          </w:p>
        </w:tc>
      </w:tr>
      <w:tr w14:paraId="527D0E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7CFD6FA">
            <w:pPr>
              <w:spacing w:line="360" w:lineRule="auto"/>
              <w:rPr>
                <w:rFonts w:eastAsia="楷体_GB2312"/>
                <w:color w:val="000000"/>
              </w:rPr>
            </w:pPr>
            <w:r>
              <w:rPr>
                <w:rFonts w:eastAsia="楷体_GB2312"/>
              </w:rPr>
              <w:t>1</w:t>
            </w:r>
            <w:r>
              <w:rPr>
                <w:rFonts w:hint="eastAsia" w:eastAsia="楷体_GB2312"/>
              </w:rPr>
              <w:t>2</w:t>
            </w:r>
            <w:r>
              <w:rPr>
                <w:rFonts w:eastAsia="楷体_GB2312"/>
              </w:rPr>
              <w:t>.资金保管机构解任事件</w:t>
            </w:r>
          </w:p>
        </w:tc>
        <w:tc>
          <w:tcPr>
            <w:tcW w:w="1106" w:type="dxa"/>
            <w:tcBorders>
              <w:top w:val="single" w:color="auto" w:sz="4" w:space="0"/>
              <w:left w:val="single" w:color="auto" w:sz="4" w:space="0"/>
              <w:bottom w:val="single" w:color="auto" w:sz="4" w:space="0"/>
              <w:right w:val="single" w:color="auto" w:sz="4" w:space="0"/>
            </w:tcBorders>
          </w:tcPr>
          <w:p w14:paraId="5B7725E3">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04F552FB">
            <w:pPr>
              <w:spacing w:line="360" w:lineRule="auto"/>
              <w:jc w:val="center"/>
              <w:rPr>
                <w:rFonts w:eastAsia="楷体_GB2312"/>
                <w:color w:val="000000"/>
                <w:sz w:val="18"/>
              </w:rPr>
            </w:pPr>
          </w:p>
        </w:tc>
      </w:tr>
      <w:tr w14:paraId="2B4A7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2A8ABC3">
            <w:pPr>
              <w:spacing w:line="360" w:lineRule="auto"/>
              <w:rPr>
                <w:rFonts w:eastAsia="楷体_GB2312"/>
                <w:color w:val="000000"/>
              </w:rPr>
            </w:pPr>
            <w:r>
              <w:rPr>
                <w:rFonts w:eastAsia="楷体_GB2312"/>
              </w:rPr>
              <w:t>1</w:t>
            </w:r>
            <w:r>
              <w:rPr>
                <w:rFonts w:hint="eastAsia" w:eastAsia="楷体_GB2312"/>
              </w:rPr>
              <w:t>3</w:t>
            </w:r>
            <w:r>
              <w:rPr>
                <w:rFonts w:eastAsia="楷体_GB2312"/>
              </w:rPr>
              <w:t>.资产支持证券持有人大会</w:t>
            </w:r>
          </w:p>
        </w:tc>
        <w:tc>
          <w:tcPr>
            <w:tcW w:w="1106" w:type="dxa"/>
            <w:tcBorders>
              <w:top w:val="single" w:color="auto" w:sz="4" w:space="0"/>
              <w:left w:val="single" w:color="auto" w:sz="4" w:space="0"/>
              <w:bottom w:val="single" w:color="auto" w:sz="4" w:space="0"/>
              <w:right w:val="single" w:color="auto" w:sz="4" w:space="0"/>
            </w:tcBorders>
          </w:tcPr>
          <w:p w14:paraId="3BD2120F">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050BA876">
            <w:pPr>
              <w:spacing w:line="360" w:lineRule="auto"/>
              <w:jc w:val="center"/>
              <w:rPr>
                <w:rFonts w:eastAsia="楷体_GB2312"/>
                <w:color w:val="000000"/>
                <w:sz w:val="18"/>
              </w:rPr>
            </w:pPr>
          </w:p>
        </w:tc>
      </w:tr>
      <w:tr w14:paraId="5EE881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2B5EE6E">
            <w:pPr>
              <w:spacing w:line="360" w:lineRule="auto"/>
              <w:rPr>
                <w:rFonts w:eastAsia="楷体_GB2312"/>
              </w:rPr>
            </w:pPr>
            <w:r>
              <w:rPr>
                <w:rFonts w:hint="eastAsia" w:eastAsia="楷体_GB2312"/>
              </w:rPr>
              <w:t>14.法定到期日延长</w:t>
            </w:r>
          </w:p>
        </w:tc>
        <w:tc>
          <w:tcPr>
            <w:tcW w:w="1106" w:type="dxa"/>
            <w:tcBorders>
              <w:top w:val="single" w:color="auto" w:sz="4" w:space="0"/>
              <w:left w:val="single" w:color="auto" w:sz="4" w:space="0"/>
              <w:bottom w:val="single" w:color="auto" w:sz="4" w:space="0"/>
              <w:right w:val="single" w:color="auto" w:sz="4" w:space="0"/>
            </w:tcBorders>
          </w:tcPr>
          <w:p w14:paraId="7888DA09">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35217093">
            <w:pPr>
              <w:spacing w:line="360" w:lineRule="auto"/>
              <w:jc w:val="center"/>
              <w:rPr>
                <w:rFonts w:eastAsia="楷体_GB2312"/>
                <w:color w:val="000000"/>
                <w:sz w:val="18"/>
              </w:rPr>
            </w:pPr>
          </w:p>
        </w:tc>
      </w:tr>
      <w:tr w14:paraId="2DAD1C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18ABE522">
            <w:pPr>
              <w:spacing w:line="360" w:lineRule="auto"/>
              <w:rPr>
                <w:rFonts w:eastAsia="楷体_GB2312"/>
              </w:rPr>
            </w:pPr>
            <w:r>
              <w:rPr>
                <w:rFonts w:hint="eastAsia" w:eastAsia="楷体_GB2312"/>
              </w:rPr>
              <w:t>15.清算期延长</w:t>
            </w:r>
          </w:p>
        </w:tc>
        <w:tc>
          <w:tcPr>
            <w:tcW w:w="1106" w:type="dxa"/>
            <w:tcBorders>
              <w:top w:val="single" w:color="auto" w:sz="4" w:space="0"/>
              <w:left w:val="single" w:color="auto" w:sz="4" w:space="0"/>
              <w:bottom w:val="single" w:color="auto" w:sz="4" w:space="0"/>
              <w:right w:val="single" w:color="auto" w:sz="4" w:space="0"/>
            </w:tcBorders>
          </w:tcPr>
          <w:p w14:paraId="1582042C">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37E6D604">
            <w:pPr>
              <w:spacing w:line="360" w:lineRule="auto"/>
              <w:jc w:val="center"/>
              <w:rPr>
                <w:rFonts w:eastAsia="楷体_GB2312"/>
                <w:color w:val="000000"/>
                <w:sz w:val="18"/>
              </w:rPr>
            </w:pPr>
          </w:p>
        </w:tc>
      </w:tr>
      <w:tr w14:paraId="4B068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52F7F9C">
            <w:pPr>
              <w:spacing w:line="360" w:lineRule="auto"/>
              <w:rPr>
                <w:rFonts w:eastAsia="楷体_GB2312"/>
                <w:color w:val="000000"/>
              </w:rPr>
            </w:pPr>
            <w:r>
              <w:rPr>
                <w:rFonts w:eastAsia="楷体_GB2312"/>
              </w:rPr>
              <w:t>16.其他影响</w:t>
            </w:r>
            <w:r>
              <w:rPr>
                <w:rFonts w:hint="eastAsia" w:eastAsia="楷体_GB2312"/>
              </w:rPr>
              <w:t>证券</w:t>
            </w:r>
            <w:r>
              <w:rPr>
                <w:rFonts w:eastAsia="楷体_GB2312"/>
              </w:rPr>
              <w:t>本息兑付或投资者利益的事项</w:t>
            </w:r>
            <w:r>
              <w:rPr>
                <w:rFonts w:hint="eastAsia" w:eastAsia="楷体_GB2312"/>
              </w:rPr>
              <w:t>（如负面的催收相关事项）</w:t>
            </w:r>
          </w:p>
        </w:tc>
        <w:tc>
          <w:tcPr>
            <w:tcW w:w="1106" w:type="dxa"/>
            <w:tcBorders>
              <w:top w:val="single" w:color="auto" w:sz="4" w:space="0"/>
              <w:left w:val="single" w:color="auto" w:sz="4" w:space="0"/>
              <w:bottom w:val="single" w:color="auto" w:sz="4" w:space="0"/>
              <w:right w:val="single" w:color="auto" w:sz="4" w:space="0"/>
            </w:tcBorders>
          </w:tcPr>
          <w:p w14:paraId="6A3F75EF">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F9C521B">
            <w:pPr>
              <w:spacing w:line="360" w:lineRule="auto"/>
              <w:jc w:val="center"/>
              <w:rPr>
                <w:rFonts w:eastAsia="楷体_GB2312"/>
                <w:color w:val="000000"/>
                <w:sz w:val="18"/>
              </w:rPr>
            </w:pPr>
          </w:p>
        </w:tc>
      </w:tr>
    </w:tbl>
    <w:p w14:paraId="549F8942">
      <w:pPr>
        <w:widowControl/>
        <w:spacing w:line="360" w:lineRule="auto"/>
        <w:jc w:val="left"/>
        <w:rPr>
          <w:rFonts w:eastAsia="楷体_GB2312"/>
          <w:b/>
          <w:bCs/>
          <w:i/>
          <w:iCs/>
          <w:color w:val="FF0000"/>
          <w:sz w:val="24"/>
        </w:rPr>
      </w:pPr>
      <w:r>
        <w:rPr>
          <w:rFonts w:eastAsia="楷体_GB2312"/>
          <w:b/>
          <w:bCs/>
          <w:i/>
          <w:iCs/>
          <w:color w:val="FF0000"/>
          <w:sz w:val="24"/>
        </w:rPr>
        <w:t>【注：</w:t>
      </w:r>
      <w:r>
        <w:rPr>
          <w:rFonts w:hint="eastAsia" w:eastAsia="楷体_GB2312"/>
          <w:b/>
          <w:bCs/>
          <w:i/>
          <w:iCs/>
          <w:color w:val="FF0000"/>
          <w:sz w:val="24"/>
        </w:rPr>
        <w:t>关于报告期内应披露的重大</w:t>
      </w:r>
      <w:r>
        <w:rPr>
          <w:rFonts w:eastAsia="楷体_GB2312"/>
          <w:b/>
          <w:bCs/>
          <w:i/>
          <w:iCs/>
          <w:color w:val="FF0000"/>
          <w:sz w:val="24"/>
        </w:rPr>
        <w:t>事件需</w:t>
      </w:r>
      <w:r>
        <w:rPr>
          <w:rFonts w:hint="eastAsia" w:eastAsia="楷体_GB2312"/>
          <w:b/>
          <w:bCs/>
          <w:i/>
          <w:iCs/>
          <w:color w:val="FF0000"/>
          <w:sz w:val="24"/>
        </w:rPr>
        <w:t>结合最新的规定予以补充或调整</w:t>
      </w:r>
      <w:r>
        <w:rPr>
          <w:rFonts w:eastAsia="楷体_GB2312"/>
          <w:b/>
          <w:bCs/>
          <w:i/>
          <w:iCs/>
          <w:color w:val="FF0000"/>
          <w:sz w:val="24"/>
        </w:rPr>
        <w:t>。】</w:t>
      </w:r>
    </w:p>
    <w:p w14:paraId="07619DF2">
      <w:pPr>
        <w:spacing w:line="360" w:lineRule="auto"/>
        <w:rPr>
          <w:rFonts w:eastAsia="楷体_GB2312"/>
          <w:color w:val="000000"/>
        </w:rPr>
      </w:pPr>
    </w:p>
    <w:p w14:paraId="46F4EEC8">
      <w:pPr>
        <w:spacing w:line="360" w:lineRule="auto"/>
        <w:ind w:right="105"/>
        <w:jc w:val="right"/>
        <w:rPr>
          <w:rFonts w:eastAsia="楷体_GB2312"/>
          <w:color w:val="000000"/>
        </w:rPr>
      </w:pPr>
      <w:r>
        <w:rPr>
          <w:rFonts w:eastAsia="楷体_GB2312"/>
          <w:color w:val="000000"/>
        </w:rPr>
        <w:t>【受托机构全称】</w:t>
      </w:r>
    </w:p>
    <w:p w14:paraId="3D794C64">
      <w:pPr>
        <w:spacing w:line="360" w:lineRule="auto"/>
        <w:jc w:val="right"/>
        <w:rPr>
          <w:rFonts w:eastAsia="楷体_GB2312"/>
          <w:color w:val="000000"/>
        </w:rPr>
      </w:pPr>
      <w:r>
        <w:rPr>
          <w:rFonts w:eastAsia="楷体_GB2312"/>
          <w:color w:val="000000"/>
        </w:rPr>
        <w:t>【】年【】月【】日</w:t>
      </w:r>
    </w:p>
    <w:p w14:paraId="71747B15">
      <w:pPr>
        <w:spacing w:line="360" w:lineRule="auto"/>
        <w:ind w:right="105"/>
        <w:jc w:val="right"/>
        <w:rPr>
          <w:rFonts w:eastAsia="楷体_GB2312"/>
          <w:b/>
          <w:sz w:val="24"/>
        </w:rPr>
      </w:pPr>
    </w:p>
    <w:p w14:paraId="1CA2BDE8">
      <w:pPr>
        <w:widowControl/>
        <w:jc w:val="left"/>
        <w:rPr>
          <w:rFonts w:eastAsia="楷体_GB2312"/>
          <w:b/>
          <w:sz w:val="24"/>
        </w:rPr>
      </w:pPr>
      <w:r>
        <w:rPr>
          <w:rFonts w:eastAsia="楷体_GB2312"/>
          <w:b/>
          <w:sz w:val="24"/>
        </w:rPr>
        <w:br w:type="page"/>
      </w:r>
    </w:p>
    <w:p w14:paraId="2A5C28B3">
      <w:pPr>
        <w:spacing w:line="380" w:lineRule="exact"/>
        <w:outlineLvl w:val="0"/>
        <w:rPr>
          <w:rFonts w:eastAsia="楷体_GB2312"/>
          <w:b/>
          <w:sz w:val="24"/>
        </w:rPr>
      </w:pPr>
      <w:bookmarkStart w:id="907" w:name="_Toc16430"/>
      <w:r>
        <w:rPr>
          <w:rFonts w:eastAsia="楷体_GB2312"/>
          <w:b/>
          <w:sz w:val="24"/>
        </w:rPr>
        <w:t>附件十二：终止信托通知函格式</w:t>
      </w:r>
      <w:bookmarkEnd w:id="897"/>
      <w:bookmarkEnd w:id="907"/>
    </w:p>
    <w:p w14:paraId="2C923671">
      <w:pPr>
        <w:jc w:val="center"/>
        <w:rPr>
          <w:rFonts w:eastAsia="楷体_GB2312"/>
          <w:b/>
          <w:sz w:val="24"/>
        </w:rPr>
      </w:pPr>
    </w:p>
    <w:p w14:paraId="003F579C">
      <w:pPr>
        <w:jc w:val="center"/>
        <w:rPr>
          <w:rFonts w:eastAsia="楷体_GB2312"/>
          <w:b/>
          <w:sz w:val="24"/>
        </w:rPr>
      </w:pPr>
      <w:r>
        <w:rPr>
          <w:rFonts w:eastAsia="楷体_GB2312"/>
          <w:b/>
          <w:sz w:val="24"/>
        </w:rPr>
        <w:t>关于终止【信托名称】的</w:t>
      </w:r>
    </w:p>
    <w:p w14:paraId="1910A4E3">
      <w:pPr>
        <w:spacing w:line="440" w:lineRule="exact"/>
        <w:jc w:val="center"/>
        <w:rPr>
          <w:rFonts w:eastAsia="楷体_GB2312"/>
          <w:b/>
          <w:sz w:val="24"/>
        </w:rPr>
      </w:pPr>
      <w:r>
        <w:rPr>
          <w:rFonts w:eastAsia="楷体_GB2312"/>
          <w:b/>
          <w:bCs/>
          <w:sz w:val="24"/>
        </w:rPr>
        <w:t>通知函（格式）</w:t>
      </w:r>
    </w:p>
    <w:p w14:paraId="2E924832">
      <w:pPr>
        <w:rPr>
          <w:rFonts w:eastAsia="楷体_GB2312"/>
          <w:bCs/>
          <w:sz w:val="24"/>
        </w:rPr>
      </w:pPr>
    </w:p>
    <w:p w14:paraId="3CE8830F">
      <w:pPr>
        <w:spacing w:before="156" w:beforeLines="50" w:after="156" w:afterLines="50" w:line="440" w:lineRule="exact"/>
        <w:ind w:firstLine="480" w:firstLineChars="200"/>
        <w:rPr>
          <w:rFonts w:eastAsia="楷体_GB2312"/>
          <w:bCs/>
          <w:sz w:val="24"/>
        </w:rPr>
      </w:pPr>
      <w:r>
        <w:rPr>
          <w:rFonts w:eastAsia="楷体_GB2312"/>
          <w:bCs/>
          <w:sz w:val="24"/>
        </w:rPr>
        <w:t>根据截至【】年【】月【】日【</w:t>
      </w:r>
      <w:r>
        <w:rPr>
          <w:rFonts w:eastAsia="楷体_GB2312"/>
          <w:bCs/>
          <w:i/>
          <w:iCs/>
          <w:sz w:val="24"/>
        </w:rPr>
        <w:t>具体时点</w:t>
      </w:r>
      <w:r>
        <w:rPr>
          <w:rFonts w:eastAsia="楷体_GB2312"/>
          <w:bCs/>
          <w:sz w:val="24"/>
        </w:rPr>
        <w:t>】“资产池”的“回收款”情况，该等“回收款”按照“《信托合同》”约定的现金流分配顺序分配后，【信托名称】（以下简称“信托”）项下“优先级资产支持证券”的本息预测将足额支付/【信托名称】（以下简称“信托”）项下“优先级资产支持证券”的本息已经足额支付。根据【发起机构全称】（以下简称“【发起机构简称】”）、【受托机构全称】签署的编号为【信托合同编号】的《【信托名称】之信托合同》（以下简称“《信托合同》”）第</w:t>
      </w:r>
      <w:r>
        <w:rPr>
          <w:rFonts w:eastAsia="楷体_GB2312"/>
          <w:bCs/>
          <w:sz w:val="24"/>
        </w:rPr>
        <w:fldChar w:fldCharType="begin"/>
      </w:r>
      <w:r>
        <w:rPr>
          <w:rFonts w:eastAsia="楷体_GB2312"/>
          <w:bCs/>
          <w:sz w:val="24"/>
        </w:rPr>
        <w:instrText xml:space="preserve"> REF _Ref122640155 \r \h  \* MERGEFORMAT </w:instrText>
      </w:r>
      <w:r>
        <w:rPr>
          <w:rFonts w:eastAsia="楷体_GB2312"/>
          <w:bCs/>
          <w:sz w:val="24"/>
        </w:rPr>
        <w:fldChar w:fldCharType="separate"/>
      </w:r>
      <w:r>
        <w:rPr>
          <w:rFonts w:eastAsia="楷体_GB2312"/>
          <w:bCs/>
          <w:sz w:val="24"/>
        </w:rPr>
        <w:t>22.3.6</w:t>
      </w:r>
      <w:r>
        <w:rPr>
          <w:rFonts w:eastAsia="楷体_GB2312"/>
          <w:bCs/>
          <w:sz w:val="24"/>
        </w:rPr>
        <w:fldChar w:fldCharType="end"/>
      </w:r>
      <w:r>
        <w:rPr>
          <w:rFonts w:eastAsia="楷体_GB2312"/>
          <w:bCs/>
          <w:sz w:val="24"/>
        </w:rPr>
        <w:t>款的约定，此时如届时“贷款服务机构”同时为唯一“次级资产支持证券持有人”，且同意“信托财产”进行原状分配并书面通知“受托人”，本“信托”提前终止。“【发起机构简称】”作为唯一“次级资产支持证券持有人”，现就如下事宜进行通知：</w:t>
      </w:r>
    </w:p>
    <w:p w14:paraId="3EF89AC9">
      <w:pPr>
        <w:spacing w:before="156" w:beforeLines="50" w:after="156" w:afterLines="50" w:line="440" w:lineRule="exact"/>
        <w:ind w:firstLine="480" w:firstLineChars="200"/>
        <w:rPr>
          <w:rFonts w:eastAsia="楷体_GB2312"/>
          <w:bCs/>
          <w:sz w:val="24"/>
        </w:rPr>
      </w:pPr>
      <w:r>
        <w:rPr>
          <w:rFonts w:eastAsia="楷体_GB2312"/>
          <w:bCs/>
          <w:sz w:val="24"/>
        </w:rPr>
        <w:t>1、同意本“信托”于【    】年【  】月【  】日提前终止（前述日期作为“信托终止日”）；</w:t>
      </w:r>
    </w:p>
    <w:p w14:paraId="6256DDAB">
      <w:pPr>
        <w:spacing w:line="360" w:lineRule="auto"/>
        <w:ind w:firstLine="480" w:firstLineChars="200"/>
        <w:rPr>
          <w:rFonts w:eastAsia="楷体_GB2312"/>
          <w:sz w:val="24"/>
        </w:rPr>
      </w:pPr>
      <w:r>
        <w:rPr>
          <w:rFonts w:eastAsia="楷体_GB2312"/>
          <w:sz w:val="24"/>
        </w:rPr>
        <w:t>2、同意</w:t>
      </w:r>
      <w:r>
        <w:rPr>
          <w:rFonts w:eastAsia="楷体_GB2312"/>
          <w:bCs/>
          <w:sz w:val="24"/>
        </w:rPr>
        <w:t>“</w:t>
      </w:r>
      <w:r>
        <w:rPr>
          <w:rFonts w:eastAsia="楷体_GB2312"/>
          <w:sz w:val="24"/>
        </w:rPr>
        <w:t>受托人</w:t>
      </w:r>
      <w:r>
        <w:rPr>
          <w:rFonts w:eastAsia="楷体_GB2312"/>
          <w:bCs/>
          <w:sz w:val="24"/>
        </w:rPr>
        <w:t>”</w:t>
      </w:r>
      <w:r>
        <w:rPr>
          <w:rFonts w:eastAsia="楷体_GB2312"/>
          <w:sz w:val="24"/>
        </w:rPr>
        <w:t>将本</w:t>
      </w:r>
      <w:r>
        <w:rPr>
          <w:rFonts w:eastAsia="楷体_GB2312"/>
          <w:bCs/>
          <w:sz w:val="24"/>
        </w:rPr>
        <w:t>“</w:t>
      </w:r>
      <w:r>
        <w:rPr>
          <w:rFonts w:eastAsia="楷体_GB2312"/>
          <w:sz w:val="24"/>
        </w:rPr>
        <w:t>信托</w:t>
      </w:r>
      <w:r>
        <w:rPr>
          <w:rFonts w:eastAsia="楷体_GB2312"/>
          <w:bCs/>
          <w:sz w:val="24"/>
        </w:rPr>
        <w:t>”</w:t>
      </w:r>
      <w:r>
        <w:rPr>
          <w:rFonts w:eastAsia="楷体_GB2312"/>
          <w:sz w:val="24"/>
        </w:rPr>
        <w:t>截至前述“信托终止日”【</w:t>
      </w:r>
      <w:r>
        <w:rPr>
          <w:rFonts w:eastAsia="楷体_GB2312"/>
          <w:bCs/>
          <w:i/>
          <w:iCs/>
          <w:sz w:val="24"/>
        </w:rPr>
        <w:t>具体时点</w:t>
      </w:r>
      <w:r>
        <w:rPr>
          <w:rFonts w:eastAsia="楷体_GB2312"/>
          <w:sz w:val="24"/>
        </w:rPr>
        <w:t>】的全部“信托财产”进行原状分配，具体分配方案为：将截至前述“信托终止日”【    】年【  】月【  】日【</w:t>
      </w:r>
      <w:r>
        <w:rPr>
          <w:rFonts w:eastAsia="楷体_GB2312"/>
          <w:bCs/>
          <w:i/>
          <w:iCs/>
          <w:sz w:val="24"/>
        </w:rPr>
        <w:t>具体时点</w:t>
      </w:r>
      <w:r>
        <w:rPr>
          <w:rFonts w:eastAsia="楷体_GB2312"/>
          <w:sz w:val="24"/>
        </w:rPr>
        <w:t>】的现金类“信托财产”（如有，包括“合格投资”）在紧邻的下一个“支付日”即【】年【】月【】日按照“《信托合同》”第</w:t>
      </w:r>
      <w:r>
        <w:rPr>
          <w:rFonts w:eastAsia="楷体_GB2312"/>
          <w:sz w:val="24"/>
        </w:rPr>
        <w:fldChar w:fldCharType="begin"/>
      </w:r>
      <w:r>
        <w:rPr>
          <w:rFonts w:eastAsia="楷体_GB2312"/>
          <w:sz w:val="24"/>
        </w:rPr>
        <w:instrText xml:space="preserve"> REF _Ref51239192 \r \h  \* MERGEFORMAT </w:instrText>
      </w:r>
      <w:r>
        <w:rPr>
          <w:rFonts w:eastAsia="楷体_GB2312"/>
          <w:sz w:val="24"/>
        </w:rPr>
        <w:fldChar w:fldCharType="separate"/>
      </w:r>
      <w:r>
        <w:rPr>
          <w:rFonts w:eastAsia="楷体_GB2312"/>
          <w:sz w:val="24"/>
        </w:rPr>
        <w:t>10.8</w:t>
      </w:r>
      <w:r>
        <w:rPr>
          <w:rFonts w:eastAsia="楷体_GB2312"/>
          <w:sz w:val="24"/>
        </w:rPr>
        <w:fldChar w:fldCharType="end"/>
      </w:r>
      <w:r>
        <w:rPr>
          <w:rFonts w:eastAsia="楷体_GB2312"/>
          <w:sz w:val="24"/>
        </w:rPr>
        <w:t>款信托终止后的“信托财产”分配顺序进行分配，将截至前述“信托终止日”【    】年【  】月【  】日【</w:t>
      </w:r>
      <w:r>
        <w:rPr>
          <w:rFonts w:eastAsia="楷体_GB2312"/>
          <w:bCs/>
          <w:i/>
          <w:iCs/>
          <w:sz w:val="24"/>
        </w:rPr>
        <w:t>具体时点</w:t>
      </w:r>
      <w:r>
        <w:rPr>
          <w:rFonts w:eastAsia="楷体_GB2312"/>
          <w:sz w:val="24"/>
        </w:rPr>
        <w:t>】剩余非现金类“信托财产</w:t>
      </w:r>
      <w:r>
        <w:rPr>
          <w:rFonts w:eastAsia="楷体_GB2312"/>
          <w:bCs/>
          <w:sz w:val="24"/>
        </w:rPr>
        <w:t>”</w:t>
      </w:r>
      <w:r>
        <w:rPr>
          <w:rFonts w:eastAsia="楷体_GB2312"/>
          <w:sz w:val="24"/>
        </w:rPr>
        <w:t>原状分配给</w:t>
      </w:r>
      <w:r>
        <w:rPr>
          <w:rFonts w:eastAsia="楷体_GB2312"/>
          <w:bCs/>
          <w:sz w:val="24"/>
        </w:rPr>
        <w:t>“【发起机构简称】”</w:t>
      </w:r>
      <w:r>
        <w:rPr>
          <w:rFonts w:eastAsia="楷体_GB2312"/>
          <w:sz w:val="24"/>
        </w:rPr>
        <w:t>，“受托人”应协助“【发起机构简称】”办理其合理地认为必要的全部变更登记、通知及其他手续；</w:t>
      </w:r>
    </w:p>
    <w:p w14:paraId="3982E25B">
      <w:pPr>
        <w:spacing w:line="360" w:lineRule="auto"/>
        <w:ind w:firstLine="480" w:firstLineChars="200"/>
        <w:rPr>
          <w:rFonts w:eastAsia="楷体_GB2312"/>
          <w:sz w:val="24"/>
        </w:rPr>
      </w:pPr>
      <w:r>
        <w:rPr>
          <w:rFonts w:eastAsia="楷体_GB2312"/>
          <w:sz w:val="24"/>
        </w:rPr>
        <w:t>3、“受托人”自“信托终止日”【</w:t>
      </w:r>
      <w:r>
        <w:rPr>
          <w:rFonts w:eastAsia="楷体_GB2312"/>
          <w:bCs/>
          <w:i/>
          <w:iCs/>
          <w:sz w:val="24"/>
        </w:rPr>
        <w:t>具体时点</w:t>
      </w:r>
      <w:r>
        <w:rPr>
          <w:rFonts w:eastAsia="楷体_GB2312"/>
          <w:sz w:val="24"/>
        </w:rPr>
        <w:t>】起基于“信托财产”和“账户记录”的（现时的和未来的、实际的和或有的）全部权利、所有权、利益和收益自动归“【发起机构简称】”所有；“受托人”应指示“贷款服务机构”将自“信托终止日”【</w:t>
      </w:r>
      <w:r>
        <w:rPr>
          <w:rFonts w:eastAsia="楷体_GB2312"/>
          <w:bCs/>
          <w:i/>
          <w:iCs/>
          <w:sz w:val="24"/>
        </w:rPr>
        <w:t>具体时点</w:t>
      </w:r>
      <w:r>
        <w:rPr>
          <w:rFonts w:eastAsia="楷体_GB2312"/>
          <w:sz w:val="24"/>
        </w:rPr>
        <w:t>】起“信贷资产”所产生的全部回收款项（如有）交付给“【发起机构简称】”。</w:t>
      </w:r>
    </w:p>
    <w:p w14:paraId="6D3292D9">
      <w:pPr>
        <w:spacing w:line="360" w:lineRule="auto"/>
        <w:ind w:firstLine="480" w:firstLineChars="200"/>
        <w:rPr>
          <w:rFonts w:eastAsia="楷体_GB2312"/>
          <w:sz w:val="24"/>
        </w:rPr>
      </w:pPr>
      <w:r>
        <w:rPr>
          <w:rFonts w:eastAsia="楷体_GB2312"/>
          <w:sz w:val="24"/>
        </w:rPr>
        <w:t>若无相反定义，本通知使用的词语和表述与“《信托合同》”和编号为【主定义表编号】的《【信托名称】主定义表》（“《主定义表》”）中的相同词语和表述具有相同含义。</w:t>
      </w:r>
    </w:p>
    <w:p w14:paraId="48388E36">
      <w:pPr>
        <w:spacing w:line="360" w:lineRule="auto"/>
        <w:ind w:firstLine="480" w:firstLineChars="200"/>
        <w:rPr>
          <w:rFonts w:eastAsia="楷体_GB2312"/>
          <w:sz w:val="24"/>
        </w:rPr>
      </w:pPr>
    </w:p>
    <w:p w14:paraId="3CB47F5D">
      <w:pPr>
        <w:spacing w:line="360" w:lineRule="auto"/>
        <w:ind w:firstLine="482" w:firstLineChars="200"/>
        <w:jc w:val="right"/>
        <w:rPr>
          <w:rFonts w:eastAsia="楷体_GB2312"/>
          <w:b/>
          <w:sz w:val="24"/>
        </w:rPr>
      </w:pPr>
      <w:r>
        <w:rPr>
          <w:rFonts w:eastAsia="楷体_GB2312"/>
          <w:b/>
          <w:sz w:val="24"/>
        </w:rPr>
        <w:t>【发起机构全称】</w:t>
      </w:r>
    </w:p>
    <w:p w14:paraId="7386F324">
      <w:pPr>
        <w:spacing w:line="360" w:lineRule="auto"/>
        <w:ind w:firstLine="480" w:firstLineChars="200"/>
        <w:jc w:val="right"/>
        <w:rPr>
          <w:rFonts w:eastAsia="楷体_GB2312"/>
          <w:sz w:val="24"/>
        </w:rPr>
      </w:pPr>
      <w:r>
        <w:rPr>
          <w:rFonts w:eastAsia="楷体_GB2312"/>
          <w:sz w:val="24"/>
        </w:rPr>
        <w:t>法定代表人或授权代理人（签字或签章）：</w:t>
      </w:r>
    </w:p>
    <w:p w14:paraId="1B2A9C8C">
      <w:pPr>
        <w:spacing w:line="360" w:lineRule="auto"/>
        <w:ind w:firstLine="480" w:firstLineChars="200"/>
        <w:jc w:val="right"/>
        <w:rPr>
          <w:rFonts w:eastAsia="楷体_GB2312"/>
          <w:sz w:val="24"/>
        </w:rPr>
      </w:pPr>
      <w:r>
        <w:rPr>
          <w:rFonts w:eastAsia="楷体_GB2312"/>
          <w:sz w:val="24"/>
        </w:rPr>
        <w:t xml:space="preserve">      年    月    日</w:t>
      </w:r>
    </w:p>
    <w:p w14:paraId="4CC47310">
      <w:pPr>
        <w:widowControl/>
        <w:jc w:val="left"/>
        <w:rPr>
          <w:rFonts w:eastAsia="楷体_GB2312"/>
          <w:b/>
          <w:sz w:val="24"/>
        </w:rPr>
      </w:pPr>
      <w:r>
        <w:rPr>
          <w:rFonts w:eastAsia="楷体_GB2312"/>
          <w:b/>
          <w:sz w:val="24"/>
        </w:rPr>
        <w:br w:type="page"/>
      </w:r>
    </w:p>
    <w:p w14:paraId="277EFC3D">
      <w:pPr>
        <w:spacing w:line="380" w:lineRule="exact"/>
        <w:outlineLvl w:val="0"/>
        <w:rPr>
          <w:rFonts w:eastAsia="楷体_GB2312"/>
          <w:b/>
          <w:sz w:val="24"/>
        </w:rPr>
      </w:pPr>
      <w:bookmarkStart w:id="908" w:name="_Toc11518"/>
      <w:r>
        <w:rPr>
          <w:rFonts w:eastAsia="楷体_GB2312"/>
          <w:b/>
          <w:sz w:val="24"/>
        </w:rPr>
        <w:t>附件</w:t>
      </w:r>
      <w:bookmarkStart w:id="909" w:name="_Toc391534600"/>
      <w:r>
        <w:rPr>
          <w:rFonts w:eastAsia="楷体_GB2312"/>
          <w:b/>
          <w:sz w:val="24"/>
        </w:rPr>
        <w:t>十三：受托机构收费函</w:t>
      </w:r>
      <w:bookmarkEnd w:id="898"/>
      <w:bookmarkEnd w:id="899"/>
      <w:bookmarkEnd w:id="900"/>
      <w:bookmarkEnd w:id="901"/>
      <w:bookmarkEnd w:id="902"/>
      <w:bookmarkEnd w:id="903"/>
      <w:bookmarkEnd w:id="904"/>
      <w:bookmarkEnd w:id="905"/>
      <w:bookmarkEnd w:id="906"/>
      <w:bookmarkEnd w:id="908"/>
      <w:bookmarkEnd w:id="909"/>
    </w:p>
    <w:p w14:paraId="4D9F7851">
      <w:pPr>
        <w:spacing w:line="380" w:lineRule="atLeast"/>
        <w:rPr>
          <w:rFonts w:eastAsia="楷体_GB2312"/>
          <w:b/>
          <w:bCs/>
          <w:i/>
          <w:iCs/>
          <w:color w:val="FF0000"/>
          <w:sz w:val="24"/>
        </w:rPr>
      </w:pPr>
      <w:r>
        <w:rPr>
          <w:rFonts w:eastAsia="楷体_GB2312"/>
          <w:b/>
          <w:bCs/>
          <w:i/>
          <w:iCs/>
          <w:color w:val="FF0000"/>
          <w:sz w:val="24"/>
        </w:rPr>
        <w:t>【注：受托机构信托报酬的计算公式、费率、支付方式可根据项目具体安排调整。】</w:t>
      </w:r>
    </w:p>
    <w:p w14:paraId="79D79231">
      <w:pPr>
        <w:spacing w:line="380" w:lineRule="atLeast"/>
        <w:rPr>
          <w:rFonts w:eastAsia="楷体_GB2312"/>
          <w:b/>
          <w:sz w:val="24"/>
        </w:rPr>
      </w:pPr>
    </w:p>
    <w:p w14:paraId="5E1048AD">
      <w:pPr>
        <w:spacing w:line="380" w:lineRule="atLeast"/>
        <w:jc w:val="center"/>
        <w:rPr>
          <w:rFonts w:eastAsia="楷体_GB2312"/>
          <w:b/>
          <w:sz w:val="24"/>
        </w:rPr>
      </w:pPr>
      <w:r>
        <w:rPr>
          <w:rFonts w:eastAsia="楷体_GB2312"/>
          <w:b/>
          <w:sz w:val="24"/>
        </w:rPr>
        <w:t>受托机构收费函</w:t>
      </w:r>
    </w:p>
    <w:p w14:paraId="31C0FDD3">
      <w:pPr>
        <w:spacing w:line="380" w:lineRule="atLeast"/>
        <w:jc w:val="center"/>
        <w:rPr>
          <w:rFonts w:eastAsia="楷体_GB2312"/>
          <w:b/>
          <w:sz w:val="24"/>
        </w:rPr>
      </w:pPr>
    </w:p>
    <w:p w14:paraId="53D64D7C">
      <w:pPr>
        <w:rPr>
          <w:rFonts w:eastAsia="楷体_GB2312"/>
          <w:b/>
          <w:color w:val="000000"/>
          <w:sz w:val="24"/>
        </w:rPr>
      </w:pPr>
      <w:r>
        <w:rPr>
          <w:rFonts w:eastAsia="楷体_GB2312"/>
          <w:b/>
          <w:color w:val="000000"/>
          <w:sz w:val="24"/>
        </w:rPr>
        <w:t>关于：【信托名称】的受托机构报酬及费用支出</w:t>
      </w:r>
    </w:p>
    <w:p w14:paraId="5F6772F9">
      <w:pPr>
        <w:tabs>
          <w:tab w:val="left" w:pos="8280"/>
        </w:tabs>
        <w:ind w:firstLine="480" w:firstLineChars="200"/>
        <w:rPr>
          <w:rFonts w:eastAsia="楷体_GB2312"/>
          <w:sz w:val="24"/>
        </w:rPr>
      </w:pPr>
    </w:p>
    <w:p w14:paraId="1EB2AE00">
      <w:pPr>
        <w:spacing w:before="156" w:beforeLines="50" w:after="156" w:afterLines="50" w:line="440" w:lineRule="exact"/>
        <w:ind w:firstLine="480" w:firstLineChars="200"/>
        <w:rPr>
          <w:rFonts w:eastAsia="楷体_GB2312"/>
          <w:sz w:val="24"/>
        </w:rPr>
      </w:pPr>
      <w:r>
        <w:rPr>
          <w:rFonts w:eastAsia="楷体_GB2312"/>
          <w:sz w:val="24"/>
        </w:rPr>
        <w:t>【受托机构全称】（“受托机构”）在信托存续期间（“收费期间”）依约提供了编号为【信托合同号】的《</w:t>
      </w:r>
      <w:r>
        <w:rPr>
          <w:rFonts w:eastAsia="楷体_GB2312"/>
          <w:color w:val="000000"/>
          <w:sz w:val="24"/>
        </w:rPr>
        <w:t>【信托名称】</w:t>
      </w:r>
      <w:r>
        <w:rPr>
          <w:rFonts w:eastAsia="楷体_GB2312"/>
          <w:sz w:val="24"/>
        </w:rPr>
        <w:t>之信托合同》（“《信托合同》”）项下的服务。受托机构报酬年费率为【】%（一年按照365天计）。每一个“支付日”受托机构应收取的受托机构报酬=</w:t>
      </w:r>
      <w:r>
        <w:rPr>
          <w:rFonts w:hint="eastAsia" w:eastAsia="楷体_GB2312"/>
          <w:sz w:val="24"/>
        </w:rPr>
        <w:t>【】</w:t>
      </w:r>
      <w:r>
        <w:rPr>
          <w:rFonts w:eastAsia="楷体_GB2312"/>
          <w:sz w:val="24"/>
        </w:rPr>
        <w:t>。“受托机构”有权按照“《信托合同》”第</w:t>
      </w:r>
      <w:r>
        <w:rPr>
          <w:rFonts w:eastAsia="楷体_GB2312"/>
          <w:sz w:val="24"/>
        </w:rPr>
        <w:fldChar w:fldCharType="begin"/>
      </w:r>
      <w:r>
        <w:rPr>
          <w:rFonts w:eastAsia="楷体_GB2312"/>
          <w:sz w:val="24"/>
        </w:rPr>
        <w:instrText xml:space="preserve"> REF _Ref169088813 \r \h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条的约定获得该报酬。</w:t>
      </w:r>
    </w:p>
    <w:p w14:paraId="47C9ECEC">
      <w:pPr>
        <w:spacing w:before="156" w:beforeLines="50" w:after="156" w:afterLines="50" w:line="440" w:lineRule="exact"/>
        <w:ind w:firstLine="480" w:firstLineChars="200"/>
        <w:rPr>
          <w:rFonts w:eastAsia="楷体_GB2312"/>
          <w:sz w:val="24"/>
        </w:rPr>
      </w:pPr>
      <w:r>
        <w:rPr>
          <w:rFonts w:eastAsia="楷体_GB2312"/>
          <w:sz w:val="24"/>
        </w:rPr>
        <w:t>同时，在上述收费期间，“受托机构”为提供“《信托合同》”项下的服务所发生的“费用支出”由“受托机构”按照“《信托合同》”第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条的约定收取。</w:t>
      </w:r>
    </w:p>
    <w:p w14:paraId="2892F90B">
      <w:pPr>
        <w:spacing w:before="156" w:beforeLines="50" w:after="156" w:afterLines="50" w:line="440" w:lineRule="exact"/>
        <w:ind w:firstLine="480" w:firstLineChars="200"/>
        <w:rPr>
          <w:rFonts w:eastAsia="楷体_GB2312"/>
          <w:sz w:val="24"/>
        </w:rPr>
      </w:pPr>
    </w:p>
    <w:p w14:paraId="2968F6A3">
      <w:pPr>
        <w:rPr>
          <w:rFonts w:eastAsia="楷体_GB2312"/>
          <w:b/>
          <w:sz w:val="24"/>
        </w:rPr>
      </w:pPr>
      <w:r>
        <w:rPr>
          <w:rFonts w:eastAsia="楷体_GB2312"/>
          <w:b/>
          <w:sz w:val="24"/>
        </w:rPr>
        <w:t>【发起机构全称】（盖章）</w:t>
      </w:r>
    </w:p>
    <w:p w14:paraId="3ACA8450">
      <w:pPr>
        <w:rPr>
          <w:rFonts w:eastAsia="楷体_GB2312"/>
          <w:b/>
          <w:sz w:val="24"/>
        </w:rPr>
      </w:pPr>
      <w:r>
        <w:rPr>
          <w:rFonts w:eastAsia="楷体_GB2312"/>
          <w:b/>
          <w:sz w:val="24"/>
        </w:rPr>
        <w:t>法定代表人或授权代理人：</w:t>
      </w:r>
    </w:p>
    <w:p w14:paraId="0642B447">
      <w:pPr>
        <w:rPr>
          <w:rFonts w:eastAsia="楷体_GB2312"/>
          <w:b/>
          <w:sz w:val="24"/>
        </w:rPr>
      </w:pPr>
      <w:r>
        <w:rPr>
          <w:rFonts w:eastAsia="楷体_GB2312"/>
          <w:b/>
          <w:sz w:val="24"/>
        </w:rPr>
        <w:t>【  】年【  】月【  】日</w:t>
      </w:r>
    </w:p>
    <w:p w14:paraId="480AB8A5">
      <w:pPr>
        <w:rPr>
          <w:rFonts w:eastAsia="楷体_GB2312"/>
          <w:b/>
          <w:sz w:val="24"/>
        </w:rPr>
      </w:pPr>
    </w:p>
    <w:p w14:paraId="5E5A7C43">
      <w:pPr>
        <w:rPr>
          <w:rFonts w:eastAsia="楷体_GB2312"/>
          <w:b/>
          <w:sz w:val="24"/>
        </w:rPr>
      </w:pPr>
    </w:p>
    <w:p w14:paraId="505E0CE0">
      <w:pPr>
        <w:rPr>
          <w:rFonts w:eastAsia="楷体_GB2312"/>
          <w:b/>
          <w:sz w:val="24"/>
        </w:rPr>
      </w:pPr>
    </w:p>
    <w:p w14:paraId="4320D4DA">
      <w:pPr>
        <w:rPr>
          <w:rFonts w:eastAsia="楷体_GB2312"/>
          <w:b/>
          <w:sz w:val="24"/>
        </w:rPr>
      </w:pPr>
      <w:r>
        <w:rPr>
          <w:rFonts w:eastAsia="楷体_GB2312"/>
          <w:b/>
          <w:sz w:val="24"/>
        </w:rPr>
        <w:t>【受托机构全称】（盖章）</w:t>
      </w:r>
    </w:p>
    <w:p w14:paraId="5D92831D">
      <w:pPr>
        <w:rPr>
          <w:rFonts w:eastAsia="楷体_GB2312"/>
          <w:b/>
          <w:sz w:val="24"/>
        </w:rPr>
      </w:pPr>
      <w:r>
        <w:rPr>
          <w:rFonts w:eastAsia="楷体_GB2312"/>
          <w:b/>
          <w:sz w:val="24"/>
        </w:rPr>
        <w:t>法定代表人或授权代理人：</w:t>
      </w:r>
    </w:p>
    <w:p w14:paraId="58BCDA28">
      <w:pPr>
        <w:rPr>
          <w:rFonts w:eastAsia="楷体_GB2312"/>
          <w:b/>
          <w:sz w:val="24"/>
        </w:rPr>
      </w:pPr>
      <w:r>
        <w:rPr>
          <w:rFonts w:eastAsia="楷体_GB2312"/>
          <w:b/>
          <w:sz w:val="24"/>
        </w:rPr>
        <w:t>【  】年【  】月【  】日</w:t>
      </w:r>
    </w:p>
    <w:p w14:paraId="600A1C94">
      <w:pPr>
        <w:ind w:firstLine="482" w:firstLineChars="200"/>
        <w:rPr>
          <w:rFonts w:eastAsia="楷体_GB2312"/>
          <w:b/>
          <w:sz w:val="24"/>
        </w:rPr>
      </w:pPr>
    </w:p>
    <w:sectPr>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776F1">
    <w:pPr>
      <w:pStyle w:val="15"/>
      <w:framePr w:wrap="around" w:vAnchor="text" w:hAnchor="margin" w:xAlign="center" w:y="1"/>
      <w:rPr>
        <w:rStyle w:val="31"/>
      </w:rPr>
    </w:pPr>
    <w:r>
      <w:fldChar w:fldCharType="begin"/>
    </w:r>
    <w:r>
      <w:rPr>
        <w:rStyle w:val="31"/>
      </w:rPr>
      <w:instrText xml:space="preserve">PAGE  </w:instrText>
    </w:r>
    <w:r>
      <w:fldChar w:fldCharType="separate"/>
    </w:r>
    <w:r>
      <w:rPr>
        <w:rStyle w:val="31"/>
      </w:rPr>
      <w:t>94</w:t>
    </w:r>
    <w:r>
      <w:fldChar w:fldCharType="end"/>
    </w:r>
  </w:p>
  <w:p w14:paraId="306ADE4F">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8902C">
    <w:pPr>
      <w:pStyle w:val="15"/>
      <w:framePr w:wrap="around" w:vAnchor="text" w:hAnchor="margin" w:xAlign="center" w:y="1"/>
      <w:rPr>
        <w:rStyle w:val="31"/>
      </w:rPr>
    </w:pPr>
    <w:r>
      <w:fldChar w:fldCharType="begin"/>
    </w:r>
    <w:r>
      <w:rPr>
        <w:rStyle w:val="31"/>
      </w:rPr>
      <w:instrText xml:space="preserve">PAGE  </w:instrText>
    </w:r>
    <w:r>
      <w:fldChar w:fldCharType="separate"/>
    </w:r>
    <w:r>
      <w:rPr>
        <w:rStyle w:val="31"/>
      </w:rPr>
      <w:t>4</w:t>
    </w:r>
    <w:r>
      <w:fldChar w:fldCharType="end"/>
    </w:r>
  </w:p>
  <w:p w14:paraId="441FB696">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82561">
    <w:pPr>
      <w:pStyle w:val="15"/>
      <w:spacing w:before="120" w:after="12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0824316"/>
    </w:sdtPr>
    <w:sdtContent>
      <w:p w14:paraId="76ABDE3F">
        <w:pPr>
          <w:pStyle w:val="15"/>
          <w:jc w:val="center"/>
        </w:pPr>
        <w:r>
          <w:fldChar w:fldCharType="begin"/>
        </w:r>
        <w:r>
          <w:instrText xml:space="preserve">PAGE   \* MERGEFORMAT</w:instrText>
        </w:r>
        <w:r>
          <w:fldChar w:fldCharType="separate"/>
        </w:r>
        <w:r>
          <w:rPr>
            <w:lang w:val="zh-CN"/>
          </w:rPr>
          <w:t>6</w:t>
        </w:r>
        <w:r>
          <w:fldChar w:fldCharType="end"/>
        </w:r>
      </w:p>
    </w:sdtContent>
  </w:sdt>
  <w:p w14:paraId="3A7A0C73">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7750843"/>
    </w:sdtPr>
    <w:sdtContent>
      <w:p w14:paraId="64D9CC54">
        <w:pPr>
          <w:pStyle w:val="15"/>
          <w:jc w:val="center"/>
        </w:pPr>
        <w:r>
          <w:fldChar w:fldCharType="begin"/>
        </w:r>
        <w:r>
          <w:instrText xml:space="preserve">PAGE   \* MERGEFORMAT</w:instrText>
        </w:r>
        <w:r>
          <w:fldChar w:fldCharType="separate"/>
        </w:r>
        <w:r>
          <w:rPr>
            <w:lang w:val="zh-CN"/>
          </w:rPr>
          <w:t>118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0FE1F3F5">
      <w:pPr>
        <w:pStyle w:val="21"/>
      </w:pPr>
      <w:r>
        <w:rPr>
          <w:rStyle w:val="34"/>
        </w:rPr>
        <w:footnoteRef/>
      </w:r>
      <w:r>
        <w:t xml:space="preserve"> </w:t>
      </w:r>
      <w:r>
        <w:rPr>
          <w:rFonts w:hint="eastAsia" w:ascii="楷体_GB2312" w:hAnsi="楷体_GB2312" w:eastAsia="楷体_GB2312" w:cs="楷体_GB2312"/>
        </w:rPr>
        <w:t>棚户区改造项目贷款资产支持证券可参考本标准合同范本进行修改。本合同版本</w:t>
      </w:r>
      <w:r>
        <w:rPr>
          <w:rFonts w:ascii="楷体_GB2312" w:hAnsi="楷体_GB2312" w:eastAsia="楷体_GB2312" w:cs="楷体_GB2312"/>
        </w:rPr>
        <w:t>作为</w:t>
      </w:r>
      <w:r>
        <w:rPr>
          <w:rFonts w:hint="eastAsia" w:ascii="楷体_GB2312" w:hAnsi="楷体_GB2312" w:eastAsia="楷体_GB2312" w:cs="楷体_GB2312"/>
        </w:rPr>
        <w:t>微小企业</w:t>
      </w:r>
      <w:r>
        <w:rPr>
          <w:rFonts w:ascii="楷体_GB2312" w:hAnsi="楷体_GB2312" w:eastAsia="楷体_GB2312" w:cs="楷体_GB2312"/>
        </w:rPr>
        <w:t>贷款资产支持证券的标准范本供市场机构参考</w:t>
      </w:r>
      <w:r>
        <w:rPr>
          <w:rFonts w:hint="eastAsia" w:ascii="楷体_GB2312" w:hAnsi="楷体_GB2312" w:eastAsia="楷体_GB2312" w:cs="楷体_GB2312"/>
        </w:rPr>
        <w:t>，非强制适用，合同条款可根据项目具体情况予以调整，法律法规另有规定的除外。</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1A691E"/>
    <w:multiLevelType w:val="multilevel"/>
    <w:tmpl w:val="051A691E"/>
    <w:lvl w:ilvl="0" w:tentative="0">
      <w:start w:val="1"/>
      <w:numFmt w:val="decimal"/>
      <w:lvlText w:val="(%1)"/>
      <w:lvlJc w:val="left"/>
      <w:pPr>
        <w:ind w:left="2040" w:hanging="420"/>
      </w:pPr>
      <w:rPr>
        <w:rFonts w:hint="eastAsia"/>
        <w:b/>
        <w:bCs/>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1">
    <w:nsid w:val="08C352CF"/>
    <w:multiLevelType w:val="multilevel"/>
    <w:tmpl w:val="08C352CF"/>
    <w:lvl w:ilvl="0" w:tentative="0">
      <w:start w:val="1"/>
      <w:numFmt w:val="decimal"/>
      <w:lvlText w:val="(%1)"/>
      <w:lvlJc w:val="left"/>
      <w:pPr>
        <w:ind w:left="2040" w:hanging="420"/>
      </w:pPr>
      <w:rPr>
        <w:rFonts w:hint="eastAsia"/>
        <w:b/>
        <w:bCs/>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2">
    <w:nsid w:val="0B6E2E58"/>
    <w:multiLevelType w:val="multilevel"/>
    <w:tmpl w:val="0B6E2E5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24939D9"/>
    <w:multiLevelType w:val="multilevel"/>
    <w:tmpl w:val="124939D9"/>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4">
    <w:nsid w:val="153D055F"/>
    <w:multiLevelType w:val="multilevel"/>
    <w:tmpl w:val="153D055F"/>
    <w:lvl w:ilvl="0" w:tentative="0">
      <w:start w:val="1"/>
      <w:numFmt w:val="decimal"/>
      <w:lvlText w:val="(%1)"/>
      <w:lvlJc w:val="left"/>
      <w:pPr>
        <w:ind w:left="2040" w:hanging="420"/>
      </w:pPr>
      <w:rPr>
        <w:rFonts w:hint="eastAsia"/>
        <w:b w:val="0"/>
        <w:bCs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5">
    <w:nsid w:val="17A1428A"/>
    <w:multiLevelType w:val="multilevel"/>
    <w:tmpl w:val="17A1428A"/>
    <w:lvl w:ilvl="0" w:tentative="0">
      <w:start w:val="1"/>
      <w:numFmt w:val="lowerLetter"/>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DCE23E0"/>
    <w:multiLevelType w:val="multilevel"/>
    <w:tmpl w:val="1DCE23E0"/>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7">
    <w:nsid w:val="20120FA2"/>
    <w:multiLevelType w:val="multilevel"/>
    <w:tmpl w:val="20120FA2"/>
    <w:lvl w:ilvl="0" w:tentative="0">
      <w:start w:val="1"/>
      <w:numFmt w:val="decimal"/>
      <w:lvlText w:val="(%1)"/>
      <w:lvlJc w:val="left"/>
      <w:pPr>
        <w:tabs>
          <w:tab w:val="left" w:pos="2220"/>
        </w:tabs>
        <w:ind w:left="2220" w:hanging="420"/>
      </w:pPr>
      <w:rPr>
        <w:rFonts w:hint="default"/>
      </w:rPr>
    </w:lvl>
    <w:lvl w:ilvl="1" w:tentative="0">
      <w:start w:val="1"/>
      <w:numFmt w:val="lowerLetter"/>
      <w:lvlText w:val="%2)"/>
      <w:lvlJc w:val="left"/>
      <w:pPr>
        <w:tabs>
          <w:tab w:val="left" w:pos="2640"/>
        </w:tabs>
        <w:ind w:left="2640" w:hanging="420"/>
      </w:pPr>
    </w:lvl>
    <w:lvl w:ilvl="2" w:tentative="0">
      <w:start w:val="1"/>
      <w:numFmt w:val="lowerRoman"/>
      <w:lvlText w:val="%3."/>
      <w:lvlJc w:val="right"/>
      <w:pPr>
        <w:tabs>
          <w:tab w:val="left" w:pos="3060"/>
        </w:tabs>
        <w:ind w:left="3060" w:hanging="420"/>
      </w:pPr>
    </w:lvl>
    <w:lvl w:ilvl="3" w:tentative="0">
      <w:start w:val="1"/>
      <w:numFmt w:val="decimal"/>
      <w:lvlText w:val="%4."/>
      <w:lvlJc w:val="left"/>
      <w:pPr>
        <w:tabs>
          <w:tab w:val="left" w:pos="3480"/>
        </w:tabs>
        <w:ind w:left="3480" w:hanging="420"/>
      </w:pPr>
    </w:lvl>
    <w:lvl w:ilvl="4" w:tentative="0">
      <w:start w:val="1"/>
      <w:numFmt w:val="lowerLetter"/>
      <w:lvlText w:val="%5)"/>
      <w:lvlJc w:val="left"/>
      <w:pPr>
        <w:tabs>
          <w:tab w:val="left" w:pos="3900"/>
        </w:tabs>
        <w:ind w:left="3900" w:hanging="420"/>
      </w:pPr>
    </w:lvl>
    <w:lvl w:ilvl="5" w:tentative="0">
      <w:start w:val="1"/>
      <w:numFmt w:val="lowerRoman"/>
      <w:lvlText w:val="%6."/>
      <w:lvlJc w:val="right"/>
      <w:pPr>
        <w:tabs>
          <w:tab w:val="left" w:pos="4320"/>
        </w:tabs>
        <w:ind w:left="4320" w:hanging="420"/>
      </w:pPr>
    </w:lvl>
    <w:lvl w:ilvl="6" w:tentative="0">
      <w:start w:val="1"/>
      <w:numFmt w:val="decimal"/>
      <w:lvlText w:val="%7."/>
      <w:lvlJc w:val="left"/>
      <w:pPr>
        <w:tabs>
          <w:tab w:val="left" w:pos="4740"/>
        </w:tabs>
        <w:ind w:left="4740" w:hanging="420"/>
      </w:pPr>
    </w:lvl>
    <w:lvl w:ilvl="7" w:tentative="0">
      <w:start w:val="1"/>
      <w:numFmt w:val="lowerLetter"/>
      <w:lvlText w:val="%8)"/>
      <w:lvlJc w:val="left"/>
      <w:pPr>
        <w:tabs>
          <w:tab w:val="left" w:pos="5160"/>
        </w:tabs>
        <w:ind w:left="5160" w:hanging="420"/>
      </w:pPr>
    </w:lvl>
    <w:lvl w:ilvl="8" w:tentative="0">
      <w:start w:val="1"/>
      <w:numFmt w:val="lowerRoman"/>
      <w:lvlText w:val="%9."/>
      <w:lvlJc w:val="right"/>
      <w:pPr>
        <w:tabs>
          <w:tab w:val="left" w:pos="5580"/>
        </w:tabs>
        <w:ind w:left="5580" w:hanging="420"/>
      </w:pPr>
    </w:lvl>
  </w:abstractNum>
  <w:abstractNum w:abstractNumId="8">
    <w:nsid w:val="25584BC6"/>
    <w:multiLevelType w:val="multilevel"/>
    <w:tmpl w:val="25584BC6"/>
    <w:lvl w:ilvl="0" w:tentative="0">
      <w:start w:val="1"/>
      <w:numFmt w:val="decimal"/>
      <w:lvlText w:val="%1"/>
      <w:lvlJc w:val="left"/>
      <w:pPr>
        <w:tabs>
          <w:tab w:val="left" w:pos="425"/>
        </w:tabs>
        <w:ind w:left="425" w:hanging="425"/>
      </w:pPr>
      <w:rPr>
        <w:rFonts w:hint="default" w:ascii="Times New Roman" w:hAnsi="Times New Roman" w:cs="Times New Roman"/>
        <w:b/>
      </w:rPr>
    </w:lvl>
    <w:lvl w:ilvl="1" w:tentative="0">
      <w:start w:val="1"/>
      <w:numFmt w:val="decimal"/>
      <w:lvlText w:val="%1.%2"/>
      <w:lvlJc w:val="left"/>
      <w:pPr>
        <w:tabs>
          <w:tab w:val="left" w:pos="992"/>
        </w:tabs>
        <w:ind w:left="992" w:hanging="567"/>
      </w:pPr>
      <w:rPr>
        <w:b/>
        <w:color w:val="auto"/>
      </w:rPr>
    </w:lvl>
    <w:lvl w:ilvl="2" w:tentative="0">
      <w:start w:val="1"/>
      <w:numFmt w:val="decimal"/>
      <w:lvlText w:val="%1.%2.%3"/>
      <w:lvlJc w:val="left"/>
      <w:pPr>
        <w:tabs>
          <w:tab w:val="left" w:pos="1571"/>
        </w:tabs>
        <w:ind w:left="1418" w:hanging="567"/>
      </w:pPr>
      <w:rPr>
        <w:rFonts w:hint="default" w:ascii="Times New Roman" w:hAnsi="Times New Roman" w:cs="Times New Roman"/>
        <w:b/>
        <w:i w:val="0"/>
        <w:iCs w:val="0"/>
        <w:color w:val="auto"/>
        <w:sz w:val="24"/>
        <w:szCs w:val="24"/>
      </w:rPr>
    </w:lvl>
    <w:lvl w:ilvl="3" w:tentative="0">
      <w:start w:val="1"/>
      <w:numFmt w:val="decimal"/>
      <w:lvlText w:val="%1.%2.%3.%4"/>
      <w:lvlJc w:val="left"/>
      <w:pPr>
        <w:tabs>
          <w:tab w:val="left" w:pos="2073"/>
        </w:tabs>
        <w:ind w:left="1701" w:hanging="708"/>
      </w:pPr>
      <w:rPr>
        <w:b/>
        <w:bCs/>
      </w:r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9">
    <w:nsid w:val="2A41275E"/>
    <w:multiLevelType w:val="multilevel"/>
    <w:tmpl w:val="2A41275E"/>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10">
    <w:nsid w:val="2A74698E"/>
    <w:multiLevelType w:val="multilevel"/>
    <w:tmpl w:val="2A74698E"/>
    <w:lvl w:ilvl="0" w:tentative="0">
      <w:start w:val="1"/>
      <w:numFmt w:val="decimal"/>
      <w:lvlText w:val="%1"/>
      <w:lvlJc w:val="left"/>
      <w:pPr>
        <w:tabs>
          <w:tab w:val="left" w:pos="360"/>
        </w:tabs>
        <w:ind w:left="360" w:hanging="360"/>
      </w:pPr>
      <w:rPr>
        <w:rFonts w:hint="default"/>
        <w:b w:val="0"/>
      </w:rPr>
    </w:lvl>
    <w:lvl w:ilvl="1" w:tentative="0">
      <w:start w:val="1"/>
      <w:numFmt w:val="lowerLetter"/>
      <w:lvlText w:val="%2)"/>
      <w:lvlJc w:val="left"/>
      <w:pPr>
        <w:tabs>
          <w:tab w:val="left" w:pos="-900"/>
        </w:tabs>
        <w:ind w:left="-90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60"/>
        </w:tabs>
        <w:ind w:left="-60" w:hanging="420"/>
      </w:pPr>
    </w:lvl>
    <w:lvl w:ilvl="4" w:tentative="0">
      <w:start w:val="1"/>
      <w:numFmt w:val="lowerLetter"/>
      <w:lvlText w:val="%5)"/>
      <w:lvlJc w:val="left"/>
      <w:pPr>
        <w:tabs>
          <w:tab w:val="left" w:pos="360"/>
        </w:tabs>
        <w:ind w:left="360" w:hanging="420"/>
      </w:pPr>
    </w:lvl>
    <w:lvl w:ilvl="5" w:tentative="0">
      <w:start w:val="1"/>
      <w:numFmt w:val="lowerRoman"/>
      <w:lvlText w:val="%6."/>
      <w:lvlJc w:val="right"/>
      <w:pPr>
        <w:tabs>
          <w:tab w:val="left" w:pos="780"/>
        </w:tabs>
        <w:ind w:left="780" w:hanging="420"/>
      </w:pPr>
    </w:lvl>
    <w:lvl w:ilvl="6" w:tentative="0">
      <w:start w:val="1"/>
      <w:numFmt w:val="decimal"/>
      <w:lvlText w:val="%7."/>
      <w:lvlJc w:val="left"/>
      <w:pPr>
        <w:tabs>
          <w:tab w:val="left" w:pos="1200"/>
        </w:tabs>
        <w:ind w:left="1200" w:hanging="420"/>
      </w:pPr>
    </w:lvl>
    <w:lvl w:ilvl="7" w:tentative="0">
      <w:start w:val="1"/>
      <w:numFmt w:val="lowerLetter"/>
      <w:lvlText w:val="%8)"/>
      <w:lvlJc w:val="left"/>
      <w:pPr>
        <w:tabs>
          <w:tab w:val="left" w:pos="1620"/>
        </w:tabs>
        <w:ind w:left="1620" w:hanging="420"/>
      </w:pPr>
    </w:lvl>
    <w:lvl w:ilvl="8" w:tentative="0">
      <w:start w:val="1"/>
      <w:numFmt w:val="lowerRoman"/>
      <w:lvlText w:val="%9."/>
      <w:lvlJc w:val="right"/>
      <w:pPr>
        <w:tabs>
          <w:tab w:val="left" w:pos="2040"/>
        </w:tabs>
        <w:ind w:left="2040" w:hanging="420"/>
      </w:pPr>
    </w:lvl>
  </w:abstractNum>
  <w:abstractNum w:abstractNumId="11">
    <w:nsid w:val="2F8425AE"/>
    <w:multiLevelType w:val="multilevel"/>
    <w:tmpl w:val="2F8425AE"/>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12">
    <w:nsid w:val="35263DAA"/>
    <w:multiLevelType w:val="multilevel"/>
    <w:tmpl w:val="35263DAA"/>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13">
    <w:nsid w:val="35E30DF3"/>
    <w:multiLevelType w:val="multilevel"/>
    <w:tmpl w:val="35E30DF3"/>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14">
    <w:nsid w:val="38500C4B"/>
    <w:multiLevelType w:val="multilevel"/>
    <w:tmpl w:val="38500C4B"/>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15">
    <w:nsid w:val="3C0141DC"/>
    <w:multiLevelType w:val="multilevel"/>
    <w:tmpl w:val="3C0141DC"/>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16">
    <w:nsid w:val="4825002F"/>
    <w:multiLevelType w:val="multilevel"/>
    <w:tmpl w:val="4825002F"/>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17">
    <w:nsid w:val="497D7F02"/>
    <w:multiLevelType w:val="multilevel"/>
    <w:tmpl w:val="497D7F02"/>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18">
    <w:nsid w:val="4C3E2A8A"/>
    <w:multiLevelType w:val="multilevel"/>
    <w:tmpl w:val="4C3E2A8A"/>
    <w:lvl w:ilvl="0" w:tentative="0">
      <w:start w:val="1"/>
      <w:numFmt w:val="lowerLetter"/>
      <w:lvlText w:val="(%1)"/>
      <w:lvlJc w:val="left"/>
      <w:pPr>
        <w:tabs>
          <w:tab w:val="left" w:pos="2100"/>
        </w:tabs>
        <w:ind w:left="2100" w:hanging="420"/>
      </w:pPr>
      <w:rPr>
        <w:rFonts w:hint="eastAsia"/>
      </w:rPr>
    </w:lvl>
    <w:lvl w:ilvl="1" w:tentative="0">
      <w:start w:val="1"/>
      <w:numFmt w:val="lowerLetter"/>
      <w:lvlText w:val="%2)"/>
      <w:lvlJc w:val="left"/>
      <w:pPr>
        <w:tabs>
          <w:tab w:val="left" w:pos="2520"/>
        </w:tabs>
        <w:ind w:left="2520" w:hanging="420"/>
      </w:pPr>
    </w:lvl>
    <w:lvl w:ilvl="2" w:tentative="0">
      <w:start w:val="1"/>
      <w:numFmt w:val="lowerRoman"/>
      <w:lvlText w:val="%3."/>
      <w:lvlJc w:val="right"/>
      <w:pPr>
        <w:tabs>
          <w:tab w:val="left" w:pos="2940"/>
        </w:tabs>
        <w:ind w:left="2940" w:hanging="420"/>
      </w:pPr>
    </w:lvl>
    <w:lvl w:ilvl="3" w:tentative="0">
      <w:start w:val="1"/>
      <w:numFmt w:val="decimal"/>
      <w:lvlText w:val="%4."/>
      <w:lvlJc w:val="left"/>
      <w:pPr>
        <w:tabs>
          <w:tab w:val="left" w:pos="3360"/>
        </w:tabs>
        <w:ind w:left="3360" w:hanging="420"/>
      </w:pPr>
    </w:lvl>
    <w:lvl w:ilvl="4" w:tentative="0">
      <w:start w:val="1"/>
      <w:numFmt w:val="lowerLetter"/>
      <w:lvlText w:val="%5)"/>
      <w:lvlJc w:val="left"/>
      <w:pPr>
        <w:tabs>
          <w:tab w:val="left" w:pos="3780"/>
        </w:tabs>
        <w:ind w:left="3780" w:hanging="420"/>
      </w:pPr>
    </w:lvl>
    <w:lvl w:ilvl="5" w:tentative="0">
      <w:start w:val="1"/>
      <w:numFmt w:val="lowerRoman"/>
      <w:lvlText w:val="%6."/>
      <w:lvlJc w:val="right"/>
      <w:pPr>
        <w:tabs>
          <w:tab w:val="left" w:pos="4200"/>
        </w:tabs>
        <w:ind w:left="4200" w:hanging="420"/>
      </w:pPr>
    </w:lvl>
    <w:lvl w:ilvl="6" w:tentative="0">
      <w:start w:val="1"/>
      <w:numFmt w:val="decimal"/>
      <w:lvlText w:val="%7."/>
      <w:lvlJc w:val="left"/>
      <w:pPr>
        <w:tabs>
          <w:tab w:val="left" w:pos="4620"/>
        </w:tabs>
        <w:ind w:left="4620" w:hanging="420"/>
      </w:pPr>
    </w:lvl>
    <w:lvl w:ilvl="7" w:tentative="0">
      <w:start w:val="1"/>
      <w:numFmt w:val="lowerLetter"/>
      <w:lvlText w:val="%8)"/>
      <w:lvlJc w:val="left"/>
      <w:pPr>
        <w:tabs>
          <w:tab w:val="left" w:pos="5040"/>
        </w:tabs>
        <w:ind w:left="5040" w:hanging="420"/>
      </w:pPr>
    </w:lvl>
    <w:lvl w:ilvl="8" w:tentative="0">
      <w:start w:val="1"/>
      <w:numFmt w:val="lowerRoman"/>
      <w:lvlText w:val="%9."/>
      <w:lvlJc w:val="right"/>
      <w:pPr>
        <w:tabs>
          <w:tab w:val="left" w:pos="5460"/>
        </w:tabs>
        <w:ind w:left="5460" w:hanging="420"/>
      </w:pPr>
    </w:lvl>
  </w:abstractNum>
  <w:abstractNum w:abstractNumId="19">
    <w:nsid w:val="50883795"/>
    <w:multiLevelType w:val="multilevel"/>
    <w:tmpl w:val="50883795"/>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20">
    <w:nsid w:val="549B7CD9"/>
    <w:multiLevelType w:val="multilevel"/>
    <w:tmpl w:val="549B7CD9"/>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21">
    <w:nsid w:val="580E516B"/>
    <w:multiLevelType w:val="multilevel"/>
    <w:tmpl w:val="580E516B"/>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2">
    <w:nsid w:val="58C71EE4"/>
    <w:multiLevelType w:val="multilevel"/>
    <w:tmpl w:val="58C71EE4"/>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23">
    <w:nsid w:val="5F296194"/>
    <w:multiLevelType w:val="multilevel"/>
    <w:tmpl w:val="5F296194"/>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24">
    <w:nsid w:val="613752D6"/>
    <w:multiLevelType w:val="multilevel"/>
    <w:tmpl w:val="613752D6"/>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5">
    <w:nsid w:val="62BC0A2A"/>
    <w:multiLevelType w:val="multilevel"/>
    <w:tmpl w:val="62BC0A2A"/>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26">
    <w:nsid w:val="67365627"/>
    <w:multiLevelType w:val="multilevel"/>
    <w:tmpl w:val="67365627"/>
    <w:lvl w:ilvl="0" w:tentative="0">
      <w:start w:val="1"/>
      <w:numFmt w:val="lowerLetter"/>
      <w:lvlText w:val="(%1)"/>
      <w:lvlJc w:val="left"/>
      <w:pPr>
        <w:tabs>
          <w:tab w:val="left" w:pos="2100"/>
        </w:tabs>
        <w:ind w:left="2100" w:hanging="420"/>
      </w:pPr>
      <w:rPr>
        <w:rFonts w:hint="eastAsia"/>
      </w:rPr>
    </w:lvl>
    <w:lvl w:ilvl="1" w:tentative="0">
      <w:start w:val="1"/>
      <w:numFmt w:val="lowerLetter"/>
      <w:lvlText w:val="%2)"/>
      <w:lvlJc w:val="left"/>
      <w:pPr>
        <w:tabs>
          <w:tab w:val="left" w:pos="2520"/>
        </w:tabs>
        <w:ind w:left="2520" w:hanging="420"/>
      </w:pPr>
    </w:lvl>
    <w:lvl w:ilvl="2" w:tentative="0">
      <w:start w:val="1"/>
      <w:numFmt w:val="lowerRoman"/>
      <w:lvlText w:val="%3."/>
      <w:lvlJc w:val="right"/>
      <w:pPr>
        <w:tabs>
          <w:tab w:val="left" w:pos="2940"/>
        </w:tabs>
        <w:ind w:left="2940" w:hanging="420"/>
      </w:pPr>
    </w:lvl>
    <w:lvl w:ilvl="3" w:tentative="0">
      <w:start w:val="1"/>
      <w:numFmt w:val="decimal"/>
      <w:lvlText w:val="%4."/>
      <w:lvlJc w:val="left"/>
      <w:pPr>
        <w:tabs>
          <w:tab w:val="left" w:pos="3360"/>
        </w:tabs>
        <w:ind w:left="3360" w:hanging="420"/>
      </w:pPr>
    </w:lvl>
    <w:lvl w:ilvl="4" w:tentative="0">
      <w:start w:val="1"/>
      <w:numFmt w:val="lowerLetter"/>
      <w:lvlText w:val="%5)"/>
      <w:lvlJc w:val="left"/>
      <w:pPr>
        <w:tabs>
          <w:tab w:val="left" w:pos="3780"/>
        </w:tabs>
        <w:ind w:left="3780" w:hanging="420"/>
      </w:pPr>
    </w:lvl>
    <w:lvl w:ilvl="5" w:tentative="0">
      <w:start w:val="1"/>
      <w:numFmt w:val="lowerRoman"/>
      <w:lvlText w:val="%6."/>
      <w:lvlJc w:val="right"/>
      <w:pPr>
        <w:tabs>
          <w:tab w:val="left" w:pos="4200"/>
        </w:tabs>
        <w:ind w:left="4200" w:hanging="420"/>
      </w:pPr>
    </w:lvl>
    <w:lvl w:ilvl="6" w:tentative="0">
      <w:start w:val="1"/>
      <w:numFmt w:val="decimal"/>
      <w:lvlText w:val="%7."/>
      <w:lvlJc w:val="left"/>
      <w:pPr>
        <w:tabs>
          <w:tab w:val="left" w:pos="4620"/>
        </w:tabs>
        <w:ind w:left="4620" w:hanging="420"/>
      </w:pPr>
    </w:lvl>
    <w:lvl w:ilvl="7" w:tentative="0">
      <w:start w:val="1"/>
      <w:numFmt w:val="lowerLetter"/>
      <w:lvlText w:val="%8)"/>
      <w:lvlJc w:val="left"/>
      <w:pPr>
        <w:tabs>
          <w:tab w:val="left" w:pos="5040"/>
        </w:tabs>
        <w:ind w:left="5040" w:hanging="420"/>
      </w:pPr>
    </w:lvl>
    <w:lvl w:ilvl="8" w:tentative="0">
      <w:start w:val="1"/>
      <w:numFmt w:val="lowerRoman"/>
      <w:lvlText w:val="%9."/>
      <w:lvlJc w:val="right"/>
      <w:pPr>
        <w:tabs>
          <w:tab w:val="left" w:pos="5460"/>
        </w:tabs>
        <w:ind w:left="5460" w:hanging="420"/>
      </w:pPr>
    </w:lvl>
  </w:abstractNum>
  <w:abstractNum w:abstractNumId="27">
    <w:nsid w:val="6B5E4B43"/>
    <w:multiLevelType w:val="multilevel"/>
    <w:tmpl w:val="6B5E4B43"/>
    <w:lvl w:ilvl="0" w:tentative="0">
      <w:start w:val="0"/>
      <w:numFmt w:val="none"/>
      <w:pStyle w:val="37"/>
      <w:lvlText w:val=""/>
      <w:lvlJc w:val="left"/>
      <w:pPr>
        <w:tabs>
          <w:tab w:val="left" w:pos="360"/>
        </w:tabs>
      </w:pPr>
    </w:lvl>
    <w:lvl w:ilvl="1" w:tentative="0">
      <w:start w:val="1"/>
      <w:numFmt w:val="decimal"/>
      <w:pStyle w:val="38"/>
      <w:lvlText w:val="%1.%2"/>
      <w:lvlJc w:val="left"/>
      <w:pPr>
        <w:tabs>
          <w:tab w:val="left" w:pos="720"/>
        </w:tabs>
        <w:ind w:left="0" w:firstLine="0"/>
      </w:pPr>
      <w:rPr>
        <w:rFonts w:ascii="Times New Roman" w:hAnsi="Times New Roman"/>
        <w:b w:val="0"/>
        <w:i w:val="0"/>
        <w:caps w:val="0"/>
        <w:color w:val="auto"/>
        <w:u w:val="none"/>
      </w:rPr>
    </w:lvl>
    <w:lvl w:ilvl="2" w:tentative="0">
      <w:start w:val="1"/>
      <w:numFmt w:val="decimal"/>
      <w:lvlText w:val="(%3)"/>
      <w:lvlJc w:val="left"/>
      <w:pPr>
        <w:tabs>
          <w:tab w:val="left" w:pos="900"/>
        </w:tabs>
        <w:ind w:left="900" w:hanging="720"/>
      </w:pPr>
      <w:rPr>
        <w:rFonts w:hint="default"/>
        <w:b w:val="0"/>
        <w:i w:val="0"/>
        <w:caps w:val="0"/>
        <w:color w:val="auto"/>
        <w:u w:val="none"/>
      </w:rPr>
    </w:lvl>
    <w:lvl w:ilvl="3" w:tentative="0">
      <w:start w:val="1"/>
      <w:numFmt w:val="lowerRoman"/>
      <w:pStyle w:val="40"/>
      <w:lvlText w:val="(%4)"/>
      <w:lvlJc w:val="right"/>
      <w:pPr>
        <w:tabs>
          <w:tab w:val="left" w:pos="1440"/>
        </w:tabs>
        <w:ind w:left="1440" w:hanging="216"/>
      </w:pPr>
      <w:rPr>
        <w:rFonts w:ascii="Times New Roman" w:hAnsi="Times New Roman"/>
        <w:b w:val="0"/>
        <w:i w:val="0"/>
        <w:caps w:val="0"/>
        <w:color w:val="auto"/>
        <w:u w:val="none"/>
      </w:rPr>
    </w:lvl>
    <w:lvl w:ilvl="4" w:tentative="0">
      <w:start w:val="1"/>
      <w:numFmt w:val="upperLetter"/>
      <w:pStyle w:val="41"/>
      <w:lvlText w:val="(%5)"/>
      <w:lvlJc w:val="left"/>
      <w:pPr>
        <w:tabs>
          <w:tab w:val="left" w:pos="2160"/>
        </w:tabs>
        <w:ind w:left="2160" w:hanging="720"/>
      </w:pPr>
      <w:rPr>
        <w:rFonts w:ascii="Times New Roman" w:hAnsi="Times New Roman"/>
        <w:b w:val="0"/>
        <w:i w:val="0"/>
        <w:caps w:val="0"/>
        <w:color w:val="auto"/>
        <w:u w:val="none"/>
      </w:rPr>
    </w:lvl>
    <w:lvl w:ilvl="5" w:tentative="0">
      <w:start w:val="1"/>
      <w:numFmt w:val="upperRoman"/>
      <w:pStyle w:val="42"/>
      <w:lvlText w:val="(%6)"/>
      <w:lvlJc w:val="right"/>
      <w:pPr>
        <w:tabs>
          <w:tab w:val="left" w:pos="2880"/>
        </w:tabs>
        <w:ind w:left="2880" w:hanging="216"/>
      </w:pPr>
      <w:rPr>
        <w:rFonts w:ascii="Times New Roman" w:hAnsi="Times New Roman"/>
        <w:b w:val="0"/>
        <w:i w:val="0"/>
        <w:caps w:val="0"/>
        <w:color w:val="auto"/>
        <w:u w:val="none"/>
      </w:rPr>
    </w:lvl>
    <w:lvl w:ilvl="6" w:tentative="0">
      <w:start w:val="27"/>
      <w:numFmt w:val="lowerLetter"/>
      <w:pStyle w:val="43"/>
      <w:lvlText w:val="(%7)"/>
      <w:lvlJc w:val="left"/>
      <w:pPr>
        <w:tabs>
          <w:tab w:val="left" w:pos="3600"/>
        </w:tabs>
        <w:ind w:left="3600" w:hanging="720"/>
      </w:pPr>
      <w:rPr>
        <w:rFonts w:ascii="Times New Roman" w:hAnsi="Times New Roman"/>
        <w:b w:val="0"/>
        <w:i w:val="0"/>
        <w:caps w:val="0"/>
        <w:color w:val="auto"/>
        <w:u w:val="none"/>
      </w:rPr>
    </w:lvl>
    <w:lvl w:ilvl="7" w:tentative="0">
      <w:start w:val="1"/>
      <w:numFmt w:val="decimal"/>
      <w:pStyle w:val="44"/>
      <w:lvlText w:val="(%8)"/>
      <w:lvlJc w:val="left"/>
      <w:pPr>
        <w:tabs>
          <w:tab w:val="left" w:pos="4320"/>
        </w:tabs>
        <w:ind w:left="4320" w:hanging="720"/>
      </w:pPr>
      <w:rPr>
        <w:rFonts w:ascii="Times New Roman" w:hAnsi="Times New Roman"/>
        <w:b w:val="0"/>
        <w:i w:val="0"/>
        <w:caps w:val="0"/>
        <w:color w:val="auto"/>
        <w:u w:val="none"/>
      </w:rPr>
    </w:lvl>
    <w:lvl w:ilvl="8" w:tentative="0">
      <w:start w:val="1"/>
      <w:numFmt w:val="lowerRoman"/>
      <w:lvlText w:val="%9)"/>
      <w:lvlJc w:val="left"/>
      <w:pPr>
        <w:tabs>
          <w:tab w:val="left" w:pos="5760"/>
        </w:tabs>
        <w:ind w:left="5760" w:hanging="720"/>
      </w:pPr>
      <w:rPr>
        <w:rFonts w:ascii="Times New Roman" w:hAnsi="Times New Roman"/>
        <w:b w:val="0"/>
        <w:i w:val="0"/>
        <w:caps w:val="0"/>
        <w:color w:val="auto"/>
        <w:u w:val="none"/>
      </w:rPr>
    </w:lvl>
  </w:abstractNum>
  <w:abstractNum w:abstractNumId="28">
    <w:nsid w:val="701B7DC3"/>
    <w:multiLevelType w:val="multilevel"/>
    <w:tmpl w:val="701B7DC3"/>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29">
    <w:nsid w:val="7020388D"/>
    <w:multiLevelType w:val="multilevel"/>
    <w:tmpl w:val="7020388D"/>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30">
    <w:nsid w:val="72527EC0"/>
    <w:multiLevelType w:val="multilevel"/>
    <w:tmpl w:val="72527EC0"/>
    <w:lvl w:ilvl="0" w:tentative="0">
      <w:start w:val="1"/>
      <w:numFmt w:val="lowerLetter"/>
      <w:lvlText w:val="(%1)"/>
      <w:lvlJc w:val="left"/>
      <w:pPr>
        <w:tabs>
          <w:tab w:val="left" w:pos="2100"/>
        </w:tabs>
        <w:ind w:left="2100" w:hanging="420"/>
      </w:pPr>
      <w:rPr>
        <w:rFonts w:hint="eastAsia"/>
      </w:rPr>
    </w:lvl>
    <w:lvl w:ilvl="1" w:tentative="0">
      <w:start w:val="1"/>
      <w:numFmt w:val="lowerLetter"/>
      <w:lvlText w:val="%2)"/>
      <w:lvlJc w:val="left"/>
      <w:pPr>
        <w:tabs>
          <w:tab w:val="left" w:pos="2520"/>
        </w:tabs>
        <w:ind w:left="2520" w:hanging="420"/>
      </w:pPr>
    </w:lvl>
    <w:lvl w:ilvl="2" w:tentative="0">
      <w:start w:val="1"/>
      <w:numFmt w:val="lowerRoman"/>
      <w:lvlText w:val="%3."/>
      <w:lvlJc w:val="right"/>
      <w:pPr>
        <w:tabs>
          <w:tab w:val="left" w:pos="2940"/>
        </w:tabs>
        <w:ind w:left="2940" w:hanging="420"/>
      </w:pPr>
    </w:lvl>
    <w:lvl w:ilvl="3" w:tentative="0">
      <w:start w:val="1"/>
      <w:numFmt w:val="decimal"/>
      <w:lvlText w:val="%4."/>
      <w:lvlJc w:val="left"/>
      <w:pPr>
        <w:tabs>
          <w:tab w:val="left" w:pos="3360"/>
        </w:tabs>
        <w:ind w:left="3360" w:hanging="420"/>
      </w:pPr>
    </w:lvl>
    <w:lvl w:ilvl="4" w:tentative="0">
      <w:start w:val="1"/>
      <w:numFmt w:val="lowerLetter"/>
      <w:lvlText w:val="%5)"/>
      <w:lvlJc w:val="left"/>
      <w:pPr>
        <w:tabs>
          <w:tab w:val="left" w:pos="3780"/>
        </w:tabs>
        <w:ind w:left="3780" w:hanging="420"/>
      </w:pPr>
    </w:lvl>
    <w:lvl w:ilvl="5" w:tentative="0">
      <w:start w:val="1"/>
      <w:numFmt w:val="lowerRoman"/>
      <w:lvlText w:val="%6."/>
      <w:lvlJc w:val="right"/>
      <w:pPr>
        <w:tabs>
          <w:tab w:val="left" w:pos="4200"/>
        </w:tabs>
        <w:ind w:left="4200" w:hanging="420"/>
      </w:pPr>
    </w:lvl>
    <w:lvl w:ilvl="6" w:tentative="0">
      <w:start w:val="1"/>
      <w:numFmt w:val="decimal"/>
      <w:lvlText w:val="%7."/>
      <w:lvlJc w:val="left"/>
      <w:pPr>
        <w:tabs>
          <w:tab w:val="left" w:pos="4620"/>
        </w:tabs>
        <w:ind w:left="4620" w:hanging="420"/>
      </w:pPr>
    </w:lvl>
    <w:lvl w:ilvl="7" w:tentative="0">
      <w:start w:val="1"/>
      <w:numFmt w:val="lowerLetter"/>
      <w:lvlText w:val="%8)"/>
      <w:lvlJc w:val="left"/>
      <w:pPr>
        <w:tabs>
          <w:tab w:val="left" w:pos="5040"/>
        </w:tabs>
        <w:ind w:left="5040" w:hanging="420"/>
      </w:pPr>
    </w:lvl>
    <w:lvl w:ilvl="8" w:tentative="0">
      <w:start w:val="1"/>
      <w:numFmt w:val="lowerRoman"/>
      <w:lvlText w:val="%9."/>
      <w:lvlJc w:val="right"/>
      <w:pPr>
        <w:tabs>
          <w:tab w:val="left" w:pos="5460"/>
        </w:tabs>
        <w:ind w:left="5460" w:hanging="420"/>
      </w:pPr>
    </w:lvl>
  </w:abstractNum>
  <w:abstractNum w:abstractNumId="31">
    <w:nsid w:val="776D58CD"/>
    <w:multiLevelType w:val="multilevel"/>
    <w:tmpl w:val="776D58CD"/>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32">
    <w:nsid w:val="78A0713F"/>
    <w:multiLevelType w:val="multilevel"/>
    <w:tmpl w:val="78A0713F"/>
    <w:lvl w:ilvl="0" w:tentative="0">
      <w:start w:val="1"/>
      <w:numFmt w:val="chineseCountingThousand"/>
      <w:lvlText w:val="附件%1"/>
      <w:lvlJc w:val="left"/>
      <w:pPr>
        <w:tabs>
          <w:tab w:val="left" w:pos="420"/>
        </w:tabs>
        <w:ind w:left="420" w:hanging="420"/>
      </w:pPr>
      <w:rPr>
        <w:rFonts w:hint="eastAsia"/>
      </w:rPr>
    </w:lvl>
    <w:lvl w:ilvl="1" w:tentative="0">
      <w:start w:val="1"/>
      <w:numFmt w:val="lowerRoman"/>
      <w:lvlText w:val="(%2)"/>
      <w:lvlJc w:val="left"/>
      <w:pPr>
        <w:tabs>
          <w:tab w:val="left" w:pos="360"/>
        </w:tabs>
        <w:ind w:left="360" w:hanging="420"/>
      </w:pPr>
      <w:rPr>
        <w:rFonts w:hint="eastAsia"/>
        <w:b w:val="0"/>
      </w:r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abstractNum w:abstractNumId="33">
    <w:nsid w:val="7B287AA8"/>
    <w:multiLevelType w:val="multilevel"/>
    <w:tmpl w:val="7B287AA8"/>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34">
    <w:nsid w:val="7B6F15B0"/>
    <w:multiLevelType w:val="multilevel"/>
    <w:tmpl w:val="7B6F15B0"/>
    <w:lvl w:ilvl="0" w:tentative="0">
      <w:start w:val="1"/>
      <w:numFmt w:val="decimal"/>
      <w:pStyle w:val="51"/>
      <w:suff w:val="nothing"/>
      <w:lvlText w:val="Schedule %1 "/>
      <w:lvlJc w:val="left"/>
      <w:pPr>
        <w:ind w:left="0" w:firstLine="0"/>
      </w:pPr>
      <w:rPr>
        <w:rFonts w:ascii="Times New Roman" w:hAnsi="Times New Roman"/>
        <w:b/>
        <w:i w:val="0"/>
        <w:caps/>
        <w:smallCaps w:val="0"/>
        <w:color w:val="auto"/>
        <w:sz w:val="24"/>
        <w:u w:val="none"/>
      </w:rPr>
    </w:lvl>
    <w:lvl w:ilvl="1" w:tentative="0">
      <w:start w:val="1"/>
      <w:numFmt w:val="upperLetter"/>
      <w:pStyle w:val="52"/>
      <w:suff w:val="space"/>
      <w:lvlText w:val="Part %2 "/>
      <w:lvlJc w:val="left"/>
      <w:pPr>
        <w:tabs>
          <w:tab w:val="left" w:pos="0"/>
        </w:tabs>
        <w:ind w:left="0" w:firstLine="0"/>
      </w:pPr>
      <w:rPr>
        <w:rFonts w:ascii="Times New Roman" w:hAnsi="Times New Roman"/>
        <w:b/>
        <w:i w:val="0"/>
        <w:caps w:val="0"/>
        <w:color w:val="auto"/>
        <w:sz w:val="24"/>
        <w:u w:val="none"/>
      </w:rPr>
    </w:lvl>
    <w:lvl w:ilvl="2" w:tentative="0">
      <w:start w:val="1"/>
      <w:numFmt w:val="decimal"/>
      <w:pStyle w:val="53"/>
      <w:lvlText w:val="%3."/>
      <w:lvlJc w:val="left"/>
      <w:pPr>
        <w:tabs>
          <w:tab w:val="left" w:pos="720"/>
        </w:tabs>
        <w:ind w:left="0" w:firstLine="0"/>
      </w:pPr>
      <w:rPr>
        <w:rFonts w:ascii="Times New Roman" w:hAnsi="Times New Roman"/>
        <w:b/>
        <w:i w:val="0"/>
        <w:caps w:val="0"/>
        <w:color w:val="auto"/>
        <w:sz w:val="24"/>
        <w:u w:val="none"/>
      </w:rPr>
    </w:lvl>
    <w:lvl w:ilvl="3" w:tentative="0">
      <w:start w:val="1"/>
      <w:numFmt w:val="decimal"/>
      <w:pStyle w:val="54"/>
      <w:lvlText w:val="%4."/>
      <w:lvlJc w:val="left"/>
      <w:pPr>
        <w:tabs>
          <w:tab w:val="left" w:pos="720"/>
        </w:tabs>
        <w:ind w:left="0" w:firstLine="0"/>
      </w:pPr>
      <w:rPr>
        <w:rFonts w:ascii="Times New Roman" w:hAnsi="Times New Roman"/>
        <w:b w:val="0"/>
        <w:i w:val="0"/>
        <w:caps w:val="0"/>
        <w:color w:val="auto"/>
        <w:sz w:val="24"/>
        <w:u w:val="none"/>
      </w:rPr>
    </w:lvl>
    <w:lvl w:ilvl="4" w:tentative="0">
      <w:start w:val="1"/>
      <w:numFmt w:val="decimal"/>
      <w:pStyle w:val="55"/>
      <w:lvlText w:val="%3.%5"/>
      <w:lvlJc w:val="left"/>
      <w:pPr>
        <w:tabs>
          <w:tab w:val="left" w:pos="720"/>
        </w:tabs>
        <w:ind w:left="0" w:firstLine="0"/>
      </w:pPr>
      <w:rPr>
        <w:rFonts w:ascii="Times New Roman" w:hAnsi="Times New Roman"/>
        <w:b w:val="0"/>
        <w:i w:val="0"/>
        <w:caps w:val="0"/>
        <w:color w:val="auto"/>
        <w:sz w:val="24"/>
        <w:u w:val="none"/>
      </w:rPr>
    </w:lvl>
    <w:lvl w:ilvl="5" w:tentative="0">
      <w:start w:val="1"/>
      <w:numFmt w:val="lowerLetter"/>
      <w:pStyle w:val="56"/>
      <w:lvlText w:val="(%6)"/>
      <w:lvlJc w:val="left"/>
      <w:pPr>
        <w:tabs>
          <w:tab w:val="left" w:pos="720"/>
        </w:tabs>
        <w:ind w:left="720" w:hanging="720"/>
      </w:pPr>
      <w:rPr>
        <w:rFonts w:ascii="Times New Roman" w:hAnsi="Times New Roman"/>
        <w:b w:val="0"/>
        <w:i w:val="0"/>
        <w:caps w:val="0"/>
        <w:color w:val="auto"/>
        <w:sz w:val="24"/>
        <w:u w:val="none"/>
      </w:rPr>
    </w:lvl>
    <w:lvl w:ilvl="6" w:tentative="0">
      <w:start w:val="1"/>
      <w:numFmt w:val="lowerRoman"/>
      <w:pStyle w:val="57"/>
      <w:lvlText w:val="(%7)"/>
      <w:lvlJc w:val="right"/>
      <w:pPr>
        <w:tabs>
          <w:tab w:val="left" w:pos="1440"/>
        </w:tabs>
        <w:ind w:left="1440" w:hanging="216"/>
      </w:pPr>
      <w:rPr>
        <w:rFonts w:ascii="Times New Roman" w:hAnsi="Times New Roman"/>
        <w:b w:val="0"/>
        <w:i w:val="0"/>
        <w:caps w:val="0"/>
        <w:color w:val="auto"/>
        <w:sz w:val="24"/>
        <w:u w:val="none"/>
      </w:rPr>
    </w:lvl>
    <w:lvl w:ilvl="7" w:tentative="0">
      <w:start w:val="1"/>
      <w:numFmt w:val="upperLetter"/>
      <w:pStyle w:val="58"/>
      <w:lvlText w:val="(%8)"/>
      <w:lvlJc w:val="left"/>
      <w:pPr>
        <w:tabs>
          <w:tab w:val="left" w:pos="2160"/>
        </w:tabs>
        <w:ind w:left="2160" w:hanging="720"/>
      </w:pPr>
      <w:rPr>
        <w:rFonts w:ascii="Times New Roman" w:hAnsi="Times New Roman"/>
        <w:b w:val="0"/>
        <w:i w:val="0"/>
        <w:caps w:val="0"/>
        <w:color w:val="auto"/>
        <w:sz w:val="24"/>
        <w:u w:val="none"/>
      </w:rPr>
    </w:lvl>
    <w:lvl w:ilvl="8" w:tentative="0">
      <w:start w:val="1"/>
      <w:numFmt w:val="upperRoman"/>
      <w:pStyle w:val="59"/>
      <w:lvlText w:val="(%9)"/>
      <w:lvlJc w:val="right"/>
      <w:pPr>
        <w:tabs>
          <w:tab w:val="left" w:pos="2880"/>
        </w:tabs>
        <w:ind w:left="2880" w:hanging="216"/>
      </w:pPr>
      <w:rPr>
        <w:rFonts w:ascii="Times New Roman" w:hAnsi="Times New Roman"/>
        <w:b w:val="0"/>
        <w:i w:val="0"/>
        <w:caps w:val="0"/>
        <w:color w:val="auto"/>
        <w:sz w:val="24"/>
        <w:u w:val="none"/>
      </w:rPr>
    </w:lvl>
  </w:abstractNum>
  <w:abstractNum w:abstractNumId="35">
    <w:nsid w:val="7FF8280D"/>
    <w:multiLevelType w:val="multilevel"/>
    <w:tmpl w:val="7FF8280D"/>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num w:numId="1">
    <w:abstractNumId w:val="27"/>
  </w:num>
  <w:num w:numId="2">
    <w:abstractNumId w:val="34"/>
  </w:num>
  <w:num w:numId="3">
    <w:abstractNumId w:val="11"/>
  </w:num>
  <w:num w:numId="4">
    <w:abstractNumId w:val="8"/>
  </w:num>
  <w:num w:numId="5">
    <w:abstractNumId w:val="12"/>
  </w:num>
  <w:num w:numId="6">
    <w:abstractNumId w:val="16"/>
  </w:num>
  <w:num w:numId="7">
    <w:abstractNumId w:val="6"/>
  </w:num>
  <w:num w:numId="8">
    <w:abstractNumId w:val="31"/>
  </w:num>
  <w:num w:numId="9">
    <w:abstractNumId w:val="26"/>
  </w:num>
  <w:num w:numId="10">
    <w:abstractNumId w:val="18"/>
  </w:num>
  <w:num w:numId="11">
    <w:abstractNumId w:val="23"/>
  </w:num>
  <w:num w:numId="12">
    <w:abstractNumId w:val="15"/>
  </w:num>
  <w:num w:numId="13">
    <w:abstractNumId w:val="3"/>
  </w:num>
  <w:num w:numId="14">
    <w:abstractNumId w:val="17"/>
  </w:num>
  <w:num w:numId="15">
    <w:abstractNumId w:val="13"/>
  </w:num>
  <w:num w:numId="16">
    <w:abstractNumId w:val="33"/>
  </w:num>
  <w:num w:numId="17">
    <w:abstractNumId w:val="20"/>
  </w:num>
  <w:num w:numId="18">
    <w:abstractNumId w:val="22"/>
  </w:num>
  <w:num w:numId="19">
    <w:abstractNumId w:val="28"/>
  </w:num>
  <w:num w:numId="20">
    <w:abstractNumId w:val="35"/>
  </w:num>
  <w:num w:numId="21">
    <w:abstractNumId w:val="0"/>
  </w:num>
  <w:num w:numId="22">
    <w:abstractNumId w:val="1"/>
  </w:num>
  <w:num w:numId="23">
    <w:abstractNumId w:val="30"/>
  </w:num>
  <w:num w:numId="24">
    <w:abstractNumId w:val="9"/>
  </w:num>
  <w:num w:numId="25">
    <w:abstractNumId w:val="19"/>
  </w:num>
  <w:num w:numId="26">
    <w:abstractNumId w:val="4"/>
  </w:num>
  <w:num w:numId="27">
    <w:abstractNumId w:val="25"/>
  </w:num>
  <w:num w:numId="28">
    <w:abstractNumId w:val="7"/>
  </w:num>
  <w:num w:numId="29">
    <w:abstractNumId w:val="14"/>
  </w:num>
  <w:num w:numId="30">
    <w:abstractNumId w:val="2"/>
  </w:num>
  <w:num w:numId="31">
    <w:abstractNumId w:val="10"/>
  </w:num>
  <w:num w:numId="32">
    <w:abstractNumId w:val="32"/>
  </w:num>
  <w:num w:numId="33">
    <w:abstractNumId w:val="5"/>
  </w:num>
  <w:num w:numId="34">
    <w:abstractNumId w:val="21"/>
  </w:num>
  <w:num w:numId="35">
    <w:abstractNumId w:val="29"/>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5D5"/>
    <w:rsid w:val="00000082"/>
    <w:rsid w:val="000000CD"/>
    <w:rsid w:val="00000392"/>
    <w:rsid w:val="00000523"/>
    <w:rsid w:val="000006B1"/>
    <w:rsid w:val="0000083B"/>
    <w:rsid w:val="00000B66"/>
    <w:rsid w:val="000015C1"/>
    <w:rsid w:val="0000176A"/>
    <w:rsid w:val="000017E1"/>
    <w:rsid w:val="00001B0B"/>
    <w:rsid w:val="00001F85"/>
    <w:rsid w:val="000023A2"/>
    <w:rsid w:val="00002842"/>
    <w:rsid w:val="00002872"/>
    <w:rsid w:val="00003602"/>
    <w:rsid w:val="00003639"/>
    <w:rsid w:val="000036E0"/>
    <w:rsid w:val="0000385A"/>
    <w:rsid w:val="00003AAA"/>
    <w:rsid w:val="00003C53"/>
    <w:rsid w:val="00003C6D"/>
    <w:rsid w:val="00003D4B"/>
    <w:rsid w:val="0000402F"/>
    <w:rsid w:val="0000422B"/>
    <w:rsid w:val="00004B32"/>
    <w:rsid w:val="00004DCD"/>
    <w:rsid w:val="00004FB5"/>
    <w:rsid w:val="00005186"/>
    <w:rsid w:val="000055F6"/>
    <w:rsid w:val="000058E9"/>
    <w:rsid w:val="00005B4B"/>
    <w:rsid w:val="00005E9F"/>
    <w:rsid w:val="000062BE"/>
    <w:rsid w:val="000064D7"/>
    <w:rsid w:val="0000657C"/>
    <w:rsid w:val="00006A0F"/>
    <w:rsid w:val="00006D1C"/>
    <w:rsid w:val="00006DDF"/>
    <w:rsid w:val="00006E37"/>
    <w:rsid w:val="00006E93"/>
    <w:rsid w:val="000073AA"/>
    <w:rsid w:val="0000749A"/>
    <w:rsid w:val="000075B2"/>
    <w:rsid w:val="00007B06"/>
    <w:rsid w:val="00007C5E"/>
    <w:rsid w:val="00010041"/>
    <w:rsid w:val="00010112"/>
    <w:rsid w:val="0001082D"/>
    <w:rsid w:val="000109FF"/>
    <w:rsid w:val="00010B04"/>
    <w:rsid w:val="00010B5F"/>
    <w:rsid w:val="00010EF8"/>
    <w:rsid w:val="0001127E"/>
    <w:rsid w:val="000114CF"/>
    <w:rsid w:val="00011863"/>
    <w:rsid w:val="000118FC"/>
    <w:rsid w:val="00011CFF"/>
    <w:rsid w:val="00011D23"/>
    <w:rsid w:val="00011F45"/>
    <w:rsid w:val="000121B7"/>
    <w:rsid w:val="00012271"/>
    <w:rsid w:val="00012398"/>
    <w:rsid w:val="000124E9"/>
    <w:rsid w:val="00012601"/>
    <w:rsid w:val="00012950"/>
    <w:rsid w:val="000129E6"/>
    <w:rsid w:val="00013710"/>
    <w:rsid w:val="00013759"/>
    <w:rsid w:val="0001394D"/>
    <w:rsid w:val="00013A68"/>
    <w:rsid w:val="00013C7F"/>
    <w:rsid w:val="00013D68"/>
    <w:rsid w:val="000141D6"/>
    <w:rsid w:val="00014347"/>
    <w:rsid w:val="00014457"/>
    <w:rsid w:val="000145C2"/>
    <w:rsid w:val="000148E1"/>
    <w:rsid w:val="00014A6D"/>
    <w:rsid w:val="00014B22"/>
    <w:rsid w:val="00014B44"/>
    <w:rsid w:val="00014BCE"/>
    <w:rsid w:val="00014CA6"/>
    <w:rsid w:val="00015602"/>
    <w:rsid w:val="00015786"/>
    <w:rsid w:val="0001588D"/>
    <w:rsid w:val="00015B80"/>
    <w:rsid w:val="00016018"/>
    <w:rsid w:val="000163A6"/>
    <w:rsid w:val="00016512"/>
    <w:rsid w:val="00016550"/>
    <w:rsid w:val="00016596"/>
    <w:rsid w:val="00016ABD"/>
    <w:rsid w:val="00016EA8"/>
    <w:rsid w:val="00017798"/>
    <w:rsid w:val="000177C7"/>
    <w:rsid w:val="0002001A"/>
    <w:rsid w:val="00020102"/>
    <w:rsid w:val="000201E9"/>
    <w:rsid w:val="0002087D"/>
    <w:rsid w:val="00020D2D"/>
    <w:rsid w:val="00021311"/>
    <w:rsid w:val="000217E1"/>
    <w:rsid w:val="00021D5C"/>
    <w:rsid w:val="00021DEB"/>
    <w:rsid w:val="00021DFE"/>
    <w:rsid w:val="00021E87"/>
    <w:rsid w:val="00021F02"/>
    <w:rsid w:val="00022449"/>
    <w:rsid w:val="00022543"/>
    <w:rsid w:val="000227EA"/>
    <w:rsid w:val="00022832"/>
    <w:rsid w:val="00022C84"/>
    <w:rsid w:val="00022D0E"/>
    <w:rsid w:val="000232B6"/>
    <w:rsid w:val="00023316"/>
    <w:rsid w:val="00023548"/>
    <w:rsid w:val="0002359D"/>
    <w:rsid w:val="000236DA"/>
    <w:rsid w:val="00023884"/>
    <w:rsid w:val="00023983"/>
    <w:rsid w:val="00023BF9"/>
    <w:rsid w:val="000240C4"/>
    <w:rsid w:val="0002413B"/>
    <w:rsid w:val="000243E3"/>
    <w:rsid w:val="00024603"/>
    <w:rsid w:val="0002465E"/>
    <w:rsid w:val="0002483C"/>
    <w:rsid w:val="00024967"/>
    <w:rsid w:val="00024993"/>
    <w:rsid w:val="000249CE"/>
    <w:rsid w:val="00024E9E"/>
    <w:rsid w:val="00024EF3"/>
    <w:rsid w:val="00025036"/>
    <w:rsid w:val="0002518F"/>
    <w:rsid w:val="0002593D"/>
    <w:rsid w:val="00025B2D"/>
    <w:rsid w:val="00025B4D"/>
    <w:rsid w:val="00025BD3"/>
    <w:rsid w:val="00026B52"/>
    <w:rsid w:val="00026C05"/>
    <w:rsid w:val="00026E02"/>
    <w:rsid w:val="0002705F"/>
    <w:rsid w:val="00027175"/>
    <w:rsid w:val="0002764A"/>
    <w:rsid w:val="00027828"/>
    <w:rsid w:val="00027C17"/>
    <w:rsid w:val="00027CE9"/>
    <w:rsid w:val="00027F6B"/>
    <w:rsid w:val="0003003C"/>
    <w:rsid w:val="000302C0"/>
    <w:rsid w:val="00030503"/>
    <w:rsid w:val="00030756"/>
    <w:rsid w:val="0003105B"/>
    <w:rsid w:val="00031195"/>
    <w:rsid w:val="00031324"/>
    <w:rsid w:val="0003138E"/>
    <w:rsid w:val="0003139D"/>
    <w:rsid w:val="000314BA"/>
    <w:rsid w:val="00031B86"/>
    <w:rsid w:val="000327BA"/>
    <w:rsid w:val="00032CA6"/>
    <w:rsid w:val="00032E3B"/>
    <w:rsid w:val="00032ED2"/>
    <w:rsid w:val="00033015"/>
    <w:rsid w:val="0003317E"/>
    <w:rsid w:val="000332DC"/>
    <w:rsid w:val="00033438"/>
    <w:rsid w:val="00033439"/>
    <w:rsid w:val="0003348B"/>
    <w:rsid w:val="00033B13"/>
    <w:rsid w:val="00033B74"/>
    <w:rsid w:val="00033F15"/>
    <w:rsid w:val="00034173"/>
    <w:rsid w:val="000341CB"/>
    <w:rsid w:val="000341DF"/>
    <w:rsid w:val="000342A5"/>
    <w:rsid w:val="0003470A"/>
    <w:rsid w:val="00034FC7"/>
    <w:rsid w:val="000352C6"/>
    <w:rsid w:val="0003542E"/>
    <w:rsid w:val="00035A73"/>
    <w:rsid w:val="00035D90"/>
    <w:rsid w:val="00035E40"/>
    <w:rsid w:val="0003609F"/>
    <w:rsid w:val="000367D5"/>
    <w:rsid w:val="00036863"/>
    <w:rsid w:val="00036B31"/>
    <w:rsid w:val="00036FA9"/>
    <w:rsid w:val="000372D7"/>
    <w:rsid w:val="000375BC"/>
    <w:rsid w:val="00037EAF"/>
    <w:rsid w:val="00037F3B"/>
    <w:rsid w:val="00037F3F"/>
    <w:rsid w:val="000402B2"/>
    <w:rsid w:val="00040E22"/>
    <w:rsid w:val="00040E3D"/>
    <w:rsid w:val="000411CF"/>
    <w:rsid w:val="000413CE"/>
    <w:rsid w:val="0004185D"/>
    <w:rsid w:val="0004189E"/>
    <w:rsid w:val="000418F6"/>
    <w:rsid w:val="00041A71"/>
    <w:rsid w:val="00041AD4"/>
    <w:rsid w:val="00041DD4"/>
    <w:rsid w:val="00041E82"/>
    <w:rsid w:val="0004210E"/>
    <w:rsid w:val="00042322"/>
    <w:rsid w:val="00042609"/>
    <w:rsid w:val="000426D8"/>
    <w:rsid w:val="00042D63"/>
    <w:rsid w:val="0004301C"/>
    <w:rsid w:val="0004301D"/>
    <w:rsid w:val="0004302C"/>
    <w:rsid w:val="00043435"/>
    <w:rsid w:val="000435FF"/>
    <w:rsid w:val="00043D70"/>
    <w:rsid w:val="0004433E"/>
    <w:rsid w:val="000443E2"/>
    <w:rsid w:val="000449F9"/>
    <w:rsid w:val="00044AE9"/>
    <w:rsid w:val="00044BDD"/>
    <w:rsid w:val="0004547E"/>
    <w:rsid w:val="00045D3D"/>
    <w:rsid w:val="00045F51"/>
    <w:rsid w:val="00045F82"/>
    <w:rsid w:val="000463BD"/>
    <w:rsid w:val="00046503"/>
    <w:rsid w:val="000465C0"/>
    <w:rsid w:val="00046870"/>
    <w:rsid w:val="00046A3C"/>
    <w:rsid w:val="00046BDD"/>
    <w:rsid w:val="00046D2C"/>
    <w:rsid w:val="00046D62"/>
    <w:rsid w:val="00046D69"/>
    <w:rsid w:val="00046F5F"/>
    <w:rsid w:val="0004712D"/>
    <w:rsid w:val="00047557"/>
    <w:rsid w:val="00047629"/>
    <w:rsid w:val="00047884"/>
    <w:rsid w:val="00047C59"/>
    <w:rsid w:val="0005001D"/>
    <w:rsid w:val="00050229"/>
    <w:rsid w:val="00050499"/>
    <w:rsid w:val="000505CD"/>
    <w:rsid w:val="00050637"/>
    <w:rsid w:val="00050D70"/>
    <w:rsid w:val="000510E1"/>
    <w:rsid w:val="00051292"/>
    <w:rsid w:val="000513AD"/>
    <w:rsid w:val="000513BB"/>
    <w:rsid w:val="00051456"/>
    <w:rsid w:val="00051675"/>
    <w:rsid w:val="00051840"/>
    <w:rsid w:val="00051AD7"/>
    <w:rsid w:val="00051B43"/>
    <w:rsid w:val="00051CEE"/>
    <w:rsid w:val="00051E0D"/>
    <w:rsid w:val="0005203B"/>
    <w:rsid w:val="000520A6"/>
    <w:rsid w:val="0005222B"/>
    <w:rsid w:val="00052367"/>
    <w:rsid w:val="00052B4E"/>
    <w:rsid w:val="00052D3D"/>
    <w:rsid w:val="00053195"/>
    <w:rsid w:val="0005354E"/>
    <w:rsid w:val="000537C6"/>
    <w:rsid w:val="0005381B"/>
    <w:rsid w:val="0005394B"/>
    <w:rsid w:val="00053D8E"/>
    <w:rsid w:val="00053F54"/>
    <w:rsid w:val="000550D6"/>
    <w:rsid w:val="00055389"/>
    <w:rsid w:val="00055C50"/>
    <w:rsid w:val="00055EF4"/>
    <w:rsid w:val="00055FE1"/>
    <w:rsid w:val="000561A1"/>
    <w:rsid w:val="00056234"/>
    <w:rsid w:val="000563D5"/>
    <w:rsid w:val="00056545"/>
    <w:rsid w:val="00056949"/>
    <w:rsid w:val="00056C47"/>
    <w:rsid w:val="00056D7C"/>
    <w:rsid w:val="00056EE7"/>
    <w:rsid w:val="00056FA3"/>
    <w:rsid w:val="000571E9"/>
    <w:rsid w:val="000572CB"/>
    <w:rsid w:val="00057342"/>
    <w:rsid w:val="00057622"/>
    <w:rsid w:val="00057716"/>
    <w:rsid w:val="000577FF"/>
    <w:rsid w:val="000579EA"/>
    <w:rsid w:val="00057B7B"/>
    <w:rsid w:val="000605FF"/>
    <w:rsid w:val="00060B54"/>
    <w:rsid w:val="00060C20"/>
    <w:rsid w:val="00060C26"/>
    <w:rsid w:val="00060F20"/>
    <w:rsid w:val="000610CA"/>
    <w:rsid w:val="0006110D"/>
    <w:rsid w:val="00061230"/>
    <w:rsid w:val="000612D9"/>
    <w:rsid w:val="000614A5"/>
    <w:rsid w:val="000616B9"/>
    <w:rsid w:val="00061A77"/>
    <w:rsid w:val="00061F21"/>
    <w:rsid w:val="000620FC"/>
    <w:rsid w:val="00062C4E"/>
    <w:rsid w:val="00062F13"/>
    <w:rsid w:val="0006344D"/>
    <w:rsid w:val="000634A3"/>
    <w:rsid w:val="00063616"/>
    <w:rsid w:val="000636A1"/>
    <w:rsid w:val="0006383D"/>
    <w:rsid w:val="00063AC7"/>
    <w:rsid w:val="000642B1"/>
    <w:rsid w:val="000643E6"/>
    <w:rsid w:val="00064538"/>
    <w:rsid w:val="0006453D"/>
    <w:rsid w:val="0006497B"/>
    <w:rsid w:val="00064EBA"/>
    <w:rsid w:val="00064F7B"/>
    <w:rsid w:val="00065113"/>
    <w:rsid w:val="000651ED"/>
    <w:rsid w:val="000652CB"/>
    <w:rsid w:val="000653F0"/>
    <w:rsid w:val="00065DE6"/>
    <w:rsid w:val="00067725"/>
    <w:rsid w:val="0006775E"/>
    <w:rsid w:val="00067A6A"/>
    <w:rsid w:val="00067A75"/>
    <w:rsid w:val="00067D07"/>
    <w:rsid w:val="00067F69"/>
    <w:rsid w:val="00070195"/>
    <w:rsid w:val="0007019B"/>
    <w:rsid w:val="000702E4"/>
    <w:rsid w:val="000705B8"/>
    <w:rsid w:val="000706D0"/>
    <w:rsid w:val="00070AE4"/>
    <w:rsid w:val="00070CD1"/>
    <w:rsid w:val="00070DBD"/>
    <w:rsid w:val="00071A4B"/>
    <w:rsid w:val="00071F44"/>
    <w:rsid w:val="000725AC"/>
    <w:rsid w:val="000726AA"/>
    <w:rsid w:val="00072B86"/>
    <w:rsid w:val="00072E2C"/>
    <w:rsid w:val="00073017"/>
    <w:rsid w:val="000732D4"/>
    <w:rsid w:val="00073426"/>
    <w:rsid w:val="00073569"/>
    <w:rsid w:val="00073952"/>
    <w:rsid w:val="00073A40"/>
    <w:rsid w:val="00073A92"/>
    <w:rsid w:val="00073D93"/>
    <w:rsid w:val="000741E9"/>
    <w:rsid w:val="0007464A"/>
    <w:rsid w:val="00074852"/>
    <w:rsid w:val="00074CBB"/>
    <w:rsid w:val="00074F05"/>
    <w:rsid w:val="00075827"/>
    <w:rsid w:val="00075A13"/>
    <w:rsid w:val="00075B1C"/>
    <w:rsid w:val="00075C43"/>
    <w:rsid w:val="000761AD"/>
    <w:rsid w:val="00076483"/>
    <w:rsid w:val="00076773"/>
    <w:rsid w:val="000769F3"/>
    <w:rsid w:val="00076C0D"/>
    <w:rsid w:val="00076EDB"/>
    <w:rsid w:val="00076F88"/>
    <w:rsid w:val="000770C0"/>
    <w:rsid w:val="000771DE"/>
    <w:rsid w:val="000776A6"/>
    <w:rsid w:val="00077712"/>
    <w:rsid w:val="0007779C"/>
    <w:rsid w:val="00080133"/>
    <w:rsid w:val="0008022E"/>
    <w:rsid w:val="0008026A"/>
    <w:rsid w:val="0008083C"/>
    <w:rsid w:val="00080BC6"/>
    <w:rsid w:val="00081196"/>
    <w:rsid w:val="000812CD"/>
    <w:rsid w:val="00081430"/>
    <w:rsid w:val="000818EE"/>
    <w:rsid w:val="00081FB6"/>
    <w:rsid w:val="000821F8"/>
    <w:rsid w:val="000823AF"/>
    <w:rsid w:val="0008254F"/>
    <w:rsid w:val="000825A4"/>
    <w:rsid w:val="0008270B"/>
    <w:rsid w:val="00082AAA"/>
    <w:rsid w:val="00082ACE"/>
    <w:rsid w:val="00082C19"/>
    <w:rsid w:val="00082C4B"/>
    <w:rsid w:val="00082F6C"/>
    <w:rsid w:val="000838AF"/>
    <w:rsid w:val="000839AD"/>
    <w:rsid w:val="00083AD2"/>
    <w:rsid w:val="00083AE3"/>
    <w:rsid w:val="0008477A"/>
    <w:rsid w:val="00084A56"/>
    <w:rsid w:val="00084CC9"/>
    <w:rsid w:val="00084DE5"/>
    <w:rsid w:val="0008506F"/>
    <w:rsid w:val="00085128"/>
    <w:rsid w:val="000855EB"/>
    <w:rsid w:val="000858C6"/>
    <w:rsid w:val="00086053"/>
    <w:rsid w:val="000860E1"/>
    <w:rsid w:val="000863A0"/>
    <w:rsid w:val="000863E4"/>
    <w:rsid w:val="00086D1A"/>
    <w:rsid w:val="000870CC"/>
    <w:rsid w:val="00087173"/>
    <w:rsid w:val="00087390"/>
    <w:rsid w:val="000878C6"/>
    <w:rsid w:val="00087AE6"/>
    <w:rsid w:val="00090006"/>
    <w:rsid w:val="00090496"/>
    <w:rsid w:val="0009091C"/>
    <w:rsid w:val="00090A25"/>
    <w:rsid w:val="00090FB7"/>
    <w:rsid w:val="000910D0"/>
    <w:rsid w:val="00091795"/>
    <w:rsid w:val="00091822"/>
    <w:rsid w:val="00092245"/>
    <w:rsid w:val="00092655"/>
    <w:rsid w:val="0009275B"/>
    <w:rsid w:val="0009279C"/>
    <w:rsid w:val="0009294F"/>
    <w:rsid w:val="00092E5D"/>
    <w:rsid w:val="0009329E"/>
    <w:rsid w:val="00093BD9"/>
    <w:rsid w:val="000940AE"/>
    <w:rsid w:val="00094482"/>
    <w:rsid w:val="000944DB"/>
    <w:rsid w:val="00094B50"/>
    <w:rsid w:val="00094BC3"/>
    <w:rsid w:val="00094E1F"/>
    <w:rsid w:val="000950D6"/>
    <w:rsid w:val="000953F9"/>
    <w:rsid w:val="00095514"/>
    <w:rsid w:val="000955CC"/>
    <w:rsid w:val="00095968"/>
    <w:rsid w:val="00095A2F"/>
    <w:rsid w:val="00095B5B"/>
    <w:rsid w:val="00095D2F"/>
    <w:rsid w:val="00095DBB"/>
    <w:rsid w:val="00095F6C"/>
    <w:rsid w:val="000960A1"/>
    <w:rsid w:val="00096598"/>
    <w:rsid w:val="00096820"/>
    <w:rsid w:val="000969DD"/>
    <w:rsid w:val="00096A81"/>
    <w:rsid w:val="00096D09"/>
    <w:rsid w:val="00096FBE"/>
    <w:rsid w:val="0009705E"/>
    <w:rsid w:val="00097187"/>
    <w:rsid w:val="00097565"/>
    <w:rsid w:val="0009760E"/>
    <w:rsid w:val="0009764F"/>
    <w:rsid w:val="000977D0"/>
    <w:rsid w:val="0009787A"/>
    <w:rsid w:val="00097919"/>
    <w:rsid w:val="00097B58"/>
    <w:rsid w:val="00097C52"/>
    <w:rsid w:val="000A02A7"/>
    <w:rsid w:val="000A04FA"/>
    <w:rsid w:val="000A0A61"/>
    <w:rsid w:val="000A1160"/>
    <w:rsid w:val="000A12EA"/>
    <w:rsid w:val="000A15E6"/>
    <w:rsid w:val="000A1A42"/>
    <w:rsid w:val="000A1C35"/>
    <w:rsid w:val="000A1CA6"/>
    <w:rsid w:val="000A2016"/>
    <w:rsid w:val="000A20AA"/>
    <w:rsid w:val="000A223E"/>
    <w:rsid w:val="000A227A"/>
    <w:rsid w:val="000A246E"/>
    <w:rsid w:val="000A2B1C"/>
    <w:rsid w:val="000A2B73"/>
    <w:rsid w:val="000A2CA8"/>
    <w:rsid w:val="000A2DD3"/>
    <w:rsid w:val="000A31C3"/>
    <w:rsid w:val="000A3C78"/>
    <w:rsid w:val="000A3CCF"/>
    <w:rsid w:val="000A3F01"/>
    <w:rsid w:val="000A4279"/>
    <w:rsid w:val="000A432C"/>
    <w:rsid w:val="000A4332"/>
    <w:rsid w:val="000A43CE"/>
    <w:rsid w:val="000A459A"/>
    <w:rsid w:val="000A4743"/>
    <w:rsid w:val="000A47CC"/>
    <w:rsid w:val="000A496C"/>
    <w:rsid w:val="000A4B7E"/>
    <w:rsid w:val="000A4C8B"/>
    <w:rsid w:val="000A6323"/>
    <w:rsid w:val="000A66D4"/>
    <w:rsid w:val="000A6CAB"/>
    <w:rsid w:val="000A6E22"/>
    <w:rsid w:val="000A6EE2"/>
    <w:rsid w:val="000A7188"/>
    <w:rsid w:val="000A7355"/>
    <w:rsid w:val="000A7488"/>
    <w:rsid w:val="000A76B9"/>
    <w:rsid w:val="000A76CC"/>
    <w:rsid w:val="000A76CD"/>
    <w:rsid w:val="000A78FA"/>
    <w:rsid w:val="000A7AFB"/>
    <w:rsid w:val="000A7C0C"/>
    <w:rsid w:val="000A7C74"/>
    <w:rsid w:val="000B02C9"/>
    <w:rsid w:val="000B06D9"/>
    <w:rsid w:val="000B0981"/>
    <w:rsid w:val="000B0AB3"/>
    <w:rsid w:val="000B0BA0"/>
    <w:rsid w:val="000B0F67"/>
    <w:rsid w:val="000B1157"/>
    <w:rsid w:val="000B119D"/>
    <w:rsid w:val="000B1490"/>
    <w:rsid w:val="000B17A1"/>
    <w:rsid w:val="000B1A7C"/>
    <w:rsid w:val="000B1C67"/>
    <w:rsid w:val="000B1CD0"/>
    <w:rsid w:val="000B1EA1"/>
    <w:rsid w:val="000B201C"/>
    <w:rsid w:val="000B20BE"/>
    <w:rsid w:val="000B221D"/>
    <w:rsid w:val="000B2628"/>
    <w:rsid w:val="000B28C0"/>
    <w:rsid w:val="000B29E9"/>
    <w:rsid w:val="000B2B0C"/>
    <w:rsid w:val="000B2C2A"/>
    <w:rsid w:val="000B2C41"/>
    <w:rsid w:val="000B2EA2"/>
    <w:rsid w:val="000B2EB8"/>
    <w:rsid w:val="000B3321"/>
    <w:rsid w:val="000B3D34"/>
    <w:rsid w:val="000B458C"/>
    <w:rsid w:val="000B4D0A"/>
    <w:rsid w:val="000B4EAC"/>
    <w:rsid w:val="000B4EFC"/>
    <w:rsid w:val="000B54C8"/>
    <w:rsid w:val="000B54DD"/>
    <w:rsid w:val="000B54EF"/>
    <w:rsid w:val="000B56C9"/>
    <w:rsid w:val="000B5792"/>
    <w:rsid w:val="000B5EFB"/>
    <w:rsid w:val="000B618E"/>
    <w:rsid w:val="000B61B3"/>
    <w:rsid w:val="000B61E4"/>
    <w:rsid w:val="000B635E"/>
    <w:rsid w:val="000B63F4"/>
    <w:rsid w:val="000B6449"/>
    <w:rsid w:val="000B6577"/>
    <w:rsid w:val="000B6ABB"/>
    <w:rsid w:val="000B6AF1"/>
    <w:rsid w:val="000B71AA"/>
    <w:rsid w:val="000B72BB"/>
    <w:rsid w:val="000B752A"/>
    <w:rsid w:val="000B7546"/>
    <w:rsid w:val="000B7D55"/>
    <w:rsid w:val="000C0000"/>
    <w:rsid w:val="000C025D"/>
    <w:rsid w:val="000C0AD1"/>
    <w:rsid w:val="000C0BCD"/>
    <w:rsid w:val="000C1530"/>
    <w:rsid w:val="000C1675"/>
    <w:rsid w:val="000C1875"/>
    <w:rsid w:val="000C1967"/>
    <w:rsid w:val="000C1E3E"/>
    <w:rsid w:val="000C1EF8"/>
    <w:rsid w:val="000C201C"/>
    <w:rsid w:val="000C2021"/>
    <w:rsid w:val="000C24C2"/>
    <w:rsid w:val="000C258B"/>
    <w:rsid w:val="000C26CC"/>
    <w:rsid w:val="000C272C"/>
    <w:rsid w:val="000C286C"/>
    <w:rsid w:val="000C2D52"/>
    <w:rsid w:val="000C2EB8"/>
    <w:rsid w:val="000C2ED3"/>
    <w:rsid w:val="000C34AA"/>
    <w:rsid w:val="000C34B4"/>
    <w:rsid w:val="000C35C8"/>
    <w:rsid w:val="000C35DB"/>
    <w:rsid w:val="000C3621"/>
    <w:rsid w:val="000C3679"/>
    <w:rsid w:val="000C390F"/>
    <w:rsid w:val="000C3938"/>
    <w:rsid w:val="000C39A1"/>
    <w:rsid w:val="000C3C0D"/>
    <w:rsid w:val="000C3CF6"/>
    <w:rsid w:val="000C3DD8"/>
    <w:rsid w:val="000C3E25"/>
    <w:rsid w:val="000C3FD4"/>
    <w:rsid w:val="000C4358"/>
    <w:rsid w:val="000C4690"/>
    <w:rsid w:val="000C4747"/>
    <w:rsid w:val="000C4A1B"/>
    <w:rsid w:val="000C4A6F"/>
    <w:rsid w:val="000C4F8E"/>
    <w:rsid w:val="000C4FB0"/>
    <w:rsid w:val="000C55D8"/>
    <w:rsid w:val="000C5A71"/>
    <w:rsid w:val="000C5ADF"/>
    <w:rsid w:val="000C5F32"/>
    <w:rsid w:val="000C62EE"/>
    <w:rsid w:val="000C6343"/>
    <w:rsid w:val="000C6C1B"/>
    <w:rsid w:val="000C7399"/>
    <w:rsid w:val="000C79D5"/>
    <w:rsid w:val="000C7B94"/>
    <w:rsid w:val="000C7CEC"/>
    <w:rsid w:val="000C7E1B"/>
    <w:rsid w:val="000D0209"/>
    <w:rsid w:val="000D05E3"/>
    <w:rsid w:val="000D07F5"/>
    <w:rsid w:val="000D09B2"/>
    <w:rsid w:val="000D0B72"/>
    <w:rsid w:val="000D0DFE"/>
    <w:rsid w:val="000D0EC2"/>
    <w:rsid w:val="000D0FBD"/>
    <w:rsid w:val="000D131D"/>
    <w:rsid w:val="000D1831"/>
    <w:rsid w:val="000D1E50"/>
    <w:rsid w:val="000D1F3E"/>
    <w:rsid w:val="000D2052"/>
    <w:rsid w:val="000D20E5"/>
    <w:rsid w:val="000D240C"/>
    <w:rsid w:val="000D2C28"/>
    <w:rsid w:val="000D317C"/>
    <w:rsid w:val="000D3AD4"/>
    <w:rsid w:val="000D3AEF"/>
    <w:rsid w:val="000D3FDD"/>
    <w:rsid w:val="000D4357"/>
    <w:rsid w:val="000D440F"/>
    <w:rsid w:val="000D4F4A"/>
    <w:rsid w:val="000D4F9C"/>
    <w:rsid w:val="000D4FC7"/>
    <w:rsid w:val="000D5031"/>
    <w:rsid w:val="000D5278"/>
    <w:rsid w:val="000D529C"/>
    <w:rsid w:val="000D54B8"/>
    <w:rsid w:val="000D5E04"/>
    <w:rsid w:val="000D5E3A"/>
    <w:rsid w:val="000D5E9A"/>
    <w:rsid w:val="000D6254"/>
    <w:rsid w:val="000D6535"/>
    <w:rsid w:val="000D662E"/>
    <w:rsid w:val="000D6D15"/>
    <w:rsid w:val="000D6D9F"/>
    <w:rsid w:val="000D6E96"/>
    <w:rsid w:val="000D702D"/>
    <w:rsid w:val="000D72BA"/>
    <w:rsid w:val="000E01D6"/>
    <w:rsid w:val="000E0403"/>
    <w:rsid w:val="000E041D"/>
    <w:rsid w:val="000E0625"/>
    <w:rsid w:val="000E072F"/>
    <w:rsid w:val="000E0A44"/>
    <w:rsid w:val="000E0D39"/>
    <w:rsid w:val="000E10BE"/>
    <w:rsid w:val="000E1124"/>
    <w:rsid w:val="000E1867"/>
    <w:rsid w:val="000E1A6D"/>
    <w:rsid w:val="000E203D"/>
    <w:rsid w:val="000E20A5"/>
    <w:rsid w:val="000E2429"/>
    <w:rsid w:val="000E2935"/>
    <w:rsid w:val="000E2B44"/>
    <w:rsid w:val="000E339D"/>
    <w:rsid w:val="000E35A0"/>
    <w:rsid w:val="000E39E7"/>
    <w:rsid w:val="000E3B44"/>
    <w:rsid w:val="000E3DB6"/>
    <w:rsid w:val="000E41DF"/>
    <w:rsid w:val="000E438A"/>
    <w:rsid w:val="000E4419"/>
    <w:rsid w:val="000E441C"/>
    <w:rsid w:val="000E49BC"/>
    <w:rsid w:val="000E4EAB"/>
    <w:rsid w:val="000E4FB9"/>
    <w:rsid w:val="000E538D"/>
    <w:rsid w:val="000E58E2"/>
    <w:rsid w:val="000E59A7"/>
    <w:rsid w:val="000E5D4A"/>
    <w:rsid w:val="000E5E72"/>
    <w:rsid w:val="000E5EDA"/>
    <w:rsid w:val="000E621F"/>
    <w:rsid w:val="000E6498"/>
    <w:rsid w:val="000E64E8"/>
    <w:rsid w:val="000E6716"/>
    <w:rsid w:val="000E69D8"/>
    <w:rsid w:val="000E6F47"/>
    <w:rsid w:val="000E750D"/>
    <w:rsid w:val="000E7B4F"/>
    <w:rsid w:val="000E7CD5"/>
    <w:rsid w:val="000E7CE8"/>
    <w:rsid w:val="000F0196"/>
    <w:rsid w:val="000F026C"/>
    <w:rsid w:val="000F0B72"/>
    <w:rsid w:val="000F0D26"/>
    <w:rsid w:val="000F1285"/>
    <w:rsid w:val="000F1298"/>
    <w:rsid w:val="000F13FC"/>
    <w:rsid w:val="000F1597"/>
    <w:rsid w:val="000F15A8"/>
    <w:rsid w:val="000F1676"/>
    <w:rsid w:val="000F1BEF"/>
    <w:rsid w:val="000F1E07"/>
    <w:rsid w:val="000F200B"/>
    <w:rsid w:val="000F23DD"/>
    <w:rsid w:val="000F2C7C"/>
    <w:rsid w:val="000F3041"/>
    <w:rsid w:val="000F340F"/>
    <w:rsid w:val="000F3493"/>
    <w:rsid w:val="000F3A15"/>
    <w:rsid w:val="000F3A79"/>
    <w:rsid w:val="000F471C"/>
    <w:rsid w:val="000F4782"/>
    <w:rsid w:val="000F4B0F"/>
    <w:rsid w:val="000F4D3D"/>
    <w:rsid w:val="000F4E44"/>
    <w:rsid w:val="000F4EEC"/>
    <w:rsid w:val="000F5388"/>
    <w:rsid w:val="000F53B7"/>
    <w:rsid w:val="000F5580"/>
    <w:rsid w:val="000F56A8"/>
    <w:rsid w:val="000F56B6"/>
    <w:rsid w:val="000F56BB"/>
    <w:rsid w:val="000F5DE9"/>
    <w:rsid w:val="000F5E66"/>
    <w:rsid w:val="000F5E78"/>
    <w:rsid w:val="000F5F6F"/>
    <w:rsid w:val="000F5FD5"/>
    <w:rsid w:val="000F5FEC"/>
    <w:rsid w:val="000F620A"/>
    <w:rsid w:val="000F62B9"/>
    <w:rsid w:val="000F67B4"/>
    <w:rsid w:val="000F6CBD"/>
    <w:rsid w:val="000F723E"/>
    <w:rsid w:val="000F7278"/>
    <w:rsid w:val="000F73EC"/>
    <w:rsid w:val="000F74E8"/>
    <w:rsid w:val="000F74FC"/>
    <w:rsid w:val="000F75E4"/>
    <w:rsid w:val="000F783D"/>
    <w:rsid w:val="000F794F"/>
    <w:rsid w:val="000F7A91"/>
    <w:rsid w:val="000F7DB9"/>
    <w:rsid w:val="000F7F72"/>
    <w:rsid w:val="00100037"/>
    <w:rsid w:val="001001C3"/>
    <w:rsid w:val="0010035B"/>
    <w:rsid w:val="00100396"/>
    <w:rsid w:val="00100806"/>
    <w:rsid w:val="00101191"/>
    <w:rsid w:val="00101362"/>
    <w:rsid w:val="001015AA"/>
    <w:rsid w:val="00101AD1"/>
    <w:rsid w:val="00101C85"/>
    <w:rsid w:val="00101D9F"/>
    <w:rsid w:val="00101EA6"/>
    <w:rsid w:val="00101EB2"/>
    <w:rsid w:val="001024D2"/>
    <w:rsid w:val="001028B4"/>
    <w:rsid w:val="00102DC3"/>
    <w:rsid w:val="00102F3D"/>
    <w:rsid w:val="0010325D"/>
    <w:rsid w:val="00103476"/>
    <w:rsid w:val="00103570"/>
    <w:rsid w:val="0010415C"/>
    <w:rsid w:val="001045D5"/>
    <w:rsid w:val="00104696"/>
    <w:rsid w:val="001046E3"/>
    <w:rsid w:val="00104BF2"/>
    <w:rsid w:val="00104C7C"/>
    <w:rsid w:val="00104CFF"/>
    <w:rsid w:val="00104EBF"/>
    <w:rsid w:val="0010512F"/>
    <w:rsid w:val="001054F7"/>
    <w:rsid w:val="001055C1"/>
    <w:rsid w:val="00105A87"/>
    <w:rsid w:val="00105CDA"/>
    <w:rsid w:val="00105E12"/>
    <w:rsid w:val="00105E14"/>
    <w:rsid w:val="00105E22"/>
    <w:rsid w:val="001060E2"/>
    <w:rsid w:val="0010656C"/>
    <w:rsid w:val="001066AD"/>
    <w:rsid w:val="001066E1"/>
    <w:rsid w:val="00106703"/>
    <w:rsid w:val="00106712"/>
    <w:rsid w:val="00106795"/>
    <w:rsid w:val="00106916"/>
    <w:rsid w:val="00106AC7"/>
    <w:rsid w:val="00106D1E"/>
    <w:rsid w:val="001070D6"/>
    <w:rsid w:val="00107541"/>
    <w:rsid w:val="00107588"/>
    <w:rsid w:val="00107654"/>
    <w:rsid w:val="00107D95"/>
    <w:rsid w:val="00110286"/>
    <w:rsid w:val="001103E0"/>
    <w:rsid w:val="001107A4"/>
    <w:rsid w:val="001108D0"/>
    <w:rsid w:val="00110D44"/>
    <w:rsid w:val="00111077"/>
    <w:rsid w:val="001116AE"/>
    <w:rsid w:val="00111755"/>
    <w:rsid w:val="00111976"/>
    <w:rsid w:val="00111987"/>
    <w:rsid w:val="001119B3"/>
    <w:rsid w:val="00112069"/>
    <w:rsid w:val="00112381"/>
    <w:rsid w:val="001123AC"/>
    <w:rsid w:val="0011278B"/>
    <w:rsid w:val="0011294A"/>
    <w:rsid w:val="00112BCB"/>
    <w:rsid w:val="00113034"/>
    <w:rsid w:val="0011366D"/>
    <w:rsid w:val="001137AF"/>
    <w:rsid w:val="001138E5"/>
    <w:rsid w:val="001138EF"/>
    <w:rsid w:val="00113B78"/>
    <w:rsid w:val="00113E23"/>
    <w:rsid w:val="001140BE"/>
    <w:rsid w:val="00114514"/>
    <w:rsid w:val="0011463A"/>
    <w:rsid w:val="00114D91"/>
    <w:rsid w:val="00114E6A"/>
    <w:rsid w:val="00114F5E"/>
    <w:rsid w:val="00115041"/>
    <w:rsid w:val="0011521C"/>
    <w:rsid w:val="0011542E"/>
    <w:rsid w:val="00115432"/>
    <w:rsid w:val="00115AE1"/>
    <w:rsid w:val="00115FE4"/>
    <w:rsid w:val="00116DB3"/>
    <w:rsid w:val="00116FD9"/>
    <w:rsid w:val="0011750F"/>
    <w:rsid w:val="001175B2"/>
    <w:rsid w:val="0011768A"/>
    <w:rsid w:val="001178EC"/>
    <w:rsid w:val="00117C4B"/>
    <w:rsid w:val="00120A48"/>
    <w:rsid w:val="00121618"/>
    <w:rsid w:val="001217D1"/>
    <w:rsid w:val="001219AE"/>
    <w:rsid w:val="00121D32"/>
    <w:rsid w:val="00121E93"/>
    <w:rsid w:val="00121EA0"/>
    <w:rsid w:val="00121EAC"/>
    <w:rsid w:val="00121FDA"/>
    <w:rsid w:val="001229CE"/>
    <w:rsid w:val="00122A34"/>
    <w:rsid w:val="00122B6D"/>
    <w:rsid w:val="00122BC9"/>
    <w:rsid w:val="00122CE3"/>
    <w:rsid w:val="001231FB"/>
    <w:rsid w:val="00123C07"/>
    <w:rsid w:val="00124204"/>
    <w:rsid w:val="001242E1"/>
    <w:rsid w:val="0012454D"/>
    <w:rsid w:val="00124729"/>
    <w:rsid w:val="001248B1"/>
    <w:rsid w:val="001249CB"/>
    <w:rsid w:val="00124AB4"/>
    <w:rsid w:val="00124B16"/>
    <w:rsid w:val="00124CA4"/>
    <w:rsid w:val="00124FD8"/>
    <w:rsid w:val="0012549A"/>
    <w:rsid w:val="001258C3"/>
    <w:rsid w:val="001258C7"/>
    <w:rsid w:val="00125D7F"/>
    <w:rsid w:val="00125E0C"/>
    <w:rsid w:val="001261D4"/>
    <w:rsid w:val="00126325"/>
    <w:rsid w:val="001268A1"/>
    <w:rsid w:val="00126986"/>
    <w:rsid w:val="00126B55"/>
    <w:rsid w:val="00126C1A"/>
    <w:rsid w:val="00126C8B"/>
    <w:rsid w:val="00126F53"/>
    <w:rsid w:val="001272BC"/>
    <w:rsid w:val="00127470"/>
    <w:rsid w:val="0012799F"/>
    <w:rsid w:val="001279FA"/>
    <w:rsid w:val="00127B0A"/>
    <w:rsid w:val="00127FD0"/>
    <w:rsid w:val="00130036"/>
    <w:rsid w:val="0013010C"/>
    <w:rsid w:val="00130AC7"/>
    <w:rsid w:val="00130B19"/>
    <w:rsid w:val="0013133B"/>
    <w:rsid w:val="0013155E"/>
    <w:rsid w:val="001315E2"/>
    <w:rsid w:val="001316F6"/>
    <w:rsid w:val="001319FF"/>
    <w:rsid w:val="00131F19"/>
    <w:rsid w:val="001321D6"/>
    <w:rsid w:val="00132E2E"/>
    <w:rsid w:val="001334B3"/>
    <w:rsid w:val="00133640"/>
    <w:rsid w:val="001341E2"/>
    <w:rsid w:val="0013433C"/>
    <w:rsid w:val="0013481A"/>
    <w:rsid w:val="001348A0"/>
    <w:rsid w:val="0013494E"/>
    <w:rsid w:val="00135E3B"/>
    <w:rsid w:val="001366F8"/>
    <w:rsid w:val="00136C4E"/>
    <w:rsid w:val="00136E8C"/>
    <w:rsid w:val="00136EA6"/>
    <w:rsid w:val="00137065"/>
    <w:rsid w:val="00137130"/>
    <w:rsid w:val="001371E9"/>
    <w:rsid w:val="0013722F"/>
    <w:rsid w:val="0013762B"/>
    <w:rsid w:val="001378ED"/>
    <w:rsid w:val="0013796D"/>
    <w:rsid w:val="001401C4"/>
    <w:rsid w:val="00140748"/>
    <w:rsid w:val="00140A0F"/>
    <w:rsid w:val="00140A8E"/>
    <w:rsid w:val="00140CBB"/>
    <w:rsid w:val="00140CF6"/>
    <w:rsid w:val="00140D1A"/>
    <w:rsid w:val="001419B2"/>
    <w:rsid w:val="00141E56"/>
    <w:rsid w:val="00142362"/>
    <w:rsid w:val="0014256B"/>
    <w:rsid w:val="001426FB"/>
    <w:rsid w:val="00142C8C"/>
    <w:rsid w:val="00143407"/>
    <w:rsid w:val="00143716"/>
    <w:rsid w:val="00143A3C"/>
    <w:rsid w:val="00143A98"/>
    <w:rsid w:val="00143F77"/>
    <w:rsid w:val="0014421E"/>
    <w:rsid w:val="00144743"/>
    <w:rsid w:val="001449DA"/>
    <w:rsid w:val="00144B62"/>
    <w:rsid w:val="00145559"/>
    <w:rsid w:val="0014596A"/>
    <w:rsid w:val="00145A73"/>
    <w:rsid w:val="00145E53"/>
    <w:rsid w:val="00146599"/>
    <w:rsid w:val="001469D8"/>
    <w:rsid w:val="00146AEC"/>
    <w:rsid w:val="00146B10"/>
    <w:rsid w:val="00146E72"/>
    <w:rsid w:val="00147619"/>
    <w:rsid w:val="00147A6B"/>
    <w:rsid w:val="001500EB"/>
    <w:rsid w:val="00150156"/>
    <w:rsid w:val="001501F2"/>
    <w:rsid w:val="001501F4"/>
    <w:rsid w:val="001502C0"/>
    <w:rsid w:val="001504B8"/>
    <w:rsid w:val="0015080D"/>
    <w:rsid w:val="00150ECC"/>
    <w:rsid w:val="001510C6"/>
    <w:rsid w:val="0015164A"/>
    <w:rsid w:val="0015173F"/>
    <w:rsid w:val="001518AC"/>
    <w:rsid w:val="001519B6"/>
    <w:rsid w:val="00151B72"/>
    <w:rsid w:val="00151D35"/>
    <w:rsid w:val="00152336"/>
    <w:rsid w:val="001525E8"/>
    <w:rsid w:val="0015283A"/>
    <w:rsid w:val="001529CE"/>
    <w:rsid w:val="00152D30"/>
    <w:rsid w:val="00153354"/>
    <w:rsid w:val="0015365D"/>
    <w:rsid w:val="0015373B"/>
    <w:rsid w:val="0015389B"/>
    <w:rsid w:val="001539C4"/>
    <w:rsid w:val="001542F1"/>
    <w:rsid w:val="0015435F"/>
    <w:rsid w:val="00154483"/>
    <w:rsid w:val="001544AC"/>
    <w:rsid w:val="00154929"/>
    <w:rsid w:val="00154A1C"/>
    <w:rsid w:val="00154C9F"/>
    <w:rsid w:val="00155235"/>
    <w:rsid w:val="0015570F"/>
    <w:rsid w:val="00155917"/>
    <w:rsid w:val="001559E4"/>
    <w:rsid w:val="00155BE3"/>
    <w:rsid w:val="00155C47"/>
    <w:rsid w:val="001560BD"/>
    <w:rsid w:val="0015614B"/>
    <w:rsid w:val="0015698E"/>
    <w:rsid w:val="00156F0C"/>
    <w:rsid w:val="00157214"/>
    <w:rsid w:val="00157D56"/>
    <w:rsid w:val="00157E71"/>
    <w:rsid w:val="00157E72"/>
    <w:rsid w:val="00157EC9"/>
    <w:rsid w:val="00157F14"/>
    <w:rsid w:val="0016032B"/>
    <w:rsid w:val="00160357"/>
    <w:rsid w:val="001603A3"/>
    <w:rsid w:val="0016041D"/>
    <w:rsid w:val="001604CE"/>
    <w:rsid w:val="00160755"/>
    <w:rsid w:val="00160851"/>
    <w:rsid w:val="00160862"/>
    <w:rsid w:val="0016097D"/>
    <w:rsid w:val="00160BEA"/>
    <w:rsid w:val="00160C57"/>
    <w:rsid w:val="00160C90"/>
    <w:rsid w:val="00160FB2"/>
    <w:rsid w:val="00161174"/>
    <w:rsid w:val="001613A9"/>
    <w:rsid w:val="001616E8"/>
    <w:rsid w:val="00161B2C"/>
    <w:rsid w:val="00161BBE"/>
    <w:rsid w:val="00161D6A"/>
    <w:rsid w:val="00161E5B"/>
    <w:rsid w:val="00162091"/>
    <w:rsid w:val="00162D3F"/>
    <w:rsid w:val="00162E53"/>
    <w:rsid w:val="00163802"/>
    <w:rsid w:val="00163ADC"/>
    <w:rsid w:val="00163BED"/>
    <w:rsid w:val="00163DCA"/>
    <w:rsid w:val="00163E3C"/>
    <w:rsid w:val="00164053"/>
    <w:rsid w:val="001642D9"/>
    <w:rsid w:val="00164301"/>
    <w:rsid w:val="001644D5"/>
    <w:rsid w:val="00164563"/>
    <w:rsid w:val="00164936"/>
    <w:rsid w:val="00164ACA"/>
    <w:rsid w:val="00164AF2"/>
    <w:rsid w:val="00164B00"/>
    <w:rsid w:val="00164F4E"/>
    <w:rsid w:val="001653C7"/>
    <w:rsid w:val="00165467"/>
    <w:rsid w:val="001654A7"/>
    <w:rsid w:val="0016557F"/>
    <w:rsid w:val="001655C7"/>
    <w:rsid w:val="0016609A"/>
    <w:rsid w:val="001661B3"/>
    <w:rsid w:val="001667C6"/>
    <w:rsid w:val="00166B5F"/>
    <w:rsid w:val="00166BA3"/>
    <w:rsid w:val="00166DED"/>
    <w:rsid w:val="00166E12"/>
    <w:rsid w:val="001671E6"/>
    <w:rsid w:val="001674F2"/>
    <w:rsid w:val="001674F6"/>
    <w:rsid w:val="001676DB"/>
    <w:rsid w:val="00167720"/>
    <w:rsid w:val="0017000A"/>
    <w:rsid w:val="00170124"/>
    <w:rsid w:val="001704BB"/>
    <w:rsid w:val="001704DC"/>
    <w:rsid w:val="00170531"/>
    <w:rsid w:val="00170609"/>
    <w:rsid w:val="00170661"/>
    <w:rsid w:val="0017074A"/>
    <w:rsid w:val="00170BD6"/>
    <w:rsid w:val="0017109E"/>
    <w:rsid w:val="001713FA"/>
    <w:rsid w:val="0017191A"/>
    <w:rsid w:val="00171C3D"/>
    <w:rsid w:val="00171F22"/>
    <w:rsid w:val="00172175"/>
    <w:rsid w:val="0017270F"/>
    <w:rsid w:val="0017283E"/>
    <w:rsid w:val="00172FDB"/>
    <w:rsid w:val="00173035"/>
    <w:rsid w:val="00173073"/>
    <w:rsid w:val="00173105"/>
    <w:rsid w:val="001733FA"/>
    <w:rsid w:val="00173611"/>
    <w:rsid w:val="00173761"/>
    <w:rsid w:val="00173E21"/>
    <w:rsid w:val="00174201"/>
    <w:rsid w:val="00174353"/>
    <w:rsid w:val="001743C5"/>
    <w:rsid w:val="00174CC9"/>
    <w:rsid w:val="00174E9A"/>
    <w:rsid w:val="00175145"/>
    <w:rsid w:val="0017588B"/>
    <w:rsid w:val="00176278"/>
    <w:rsid w:val="00176660"/>
    <w:rsid w:val="0017727D"/>
    <w:rsid w:val="0017740A"/>
    <w:rsid w:val="00177435"/>
    <w:rsid w:val="0017764C"/>
    <w:rsid w:val="00177740"/>
    <w:rsid w:val="00177871"/>
    <w:rsid w:val="001778A8"/>
    <w:rsid w:val="00177A62"/>
    <w:rsid w:val="001802B5"/>
    <w:rsid w:val="001802BC"/>
    <w:rsid w:val="00180604"/>
    <w:rsid w:val="00180631"/>
    <w:rsid w:val="00180641"/>
    <w:rsid w:val="00180693"/>
    <w:rsid w:val="00180C0F"/>
    <w:rsid w:val="001813CC"/>
    <w:rsid w:val="001814EB"/>
    <w:rsid w:val="00181542"/>
    <w:rsid w:val="001815A2"/>
    <w:rsid w:val="001815FE"/>
    <w:rsid w:val="001816B3"/>
    <w:rsid w:val="00181D0B"/>
    <w:rsid w:val="001822AA"/>
    <w:rsid w:val="00182300"/>
    <w:rsid w:val="001823DF"/>
    <w:rsid w:val="00183022"/>
    <w:rsid w:val="001830C0"/>
    <w:rsid w:val="001831D3"/>
    <w:rsid w:val="00183236"/>
    <w:rsid w:val="001834F5"/>
    <w:rsid w:val="00183BFF"/>
    <w:rsid w:val="00183DBD"/>
    <w:rsid w:val="0018419A"/>
    <w:rsid w:val="00184E44"/>
    <w:rsid w:val="001853E5"/>
    <w:rsid w:val="0018579A"/>
    <w:rsid w:val="00185BB8"/>
    <w:rsid w:val="0018628D"/>
    <w:rsid w:val="00186583"/>
    <w:rsid w:val="00186BAD"/>
    <w:rsid w:val="00186BE6"/>
    <w:rsid w:val="00186DF9"/>
    <w:rsid w:val="0018714E"/>
    <w:rsid w:val="0018743E"/>
    <w:rsid w:val="00187A8B"/>
    <w:rsid w:val="00187DFF"/>
    <w:rsid w:val="0019033D"/>
    <w:rsid w:val="00190A96"/>
    <w:rsid w:val="0019125E"/>
    <w:rsid w:val="00191422"/>
    <w:rsid w:val="001915F0"/>
    <w:rsid w:val="00191778"/>
    <w:rsid w:val="00191981"/>
    <w:rsid w:val="00191EB6"/>
    <w:rsid w:val="00192177"/>
    <w:rsid w:val="0019229F"/>
    <w:rsid w:val="001925F2"/>
    <w:rsid w:val="00192CC8"/>
    <w:rsid w:val="00192DBD"/>
    <w:rsid w:val="00192F8D"/>
    <w:rsid w:val="001931C1"/>
    <w:rsid w:val="00193226"/>
    <w:rsid w:val="0019380B"/>
    <w:rsid w:val="00193B0D"/>
    <w:rsid w:val="00193C0B"/>
    <w:rsid w:val="00193F3F"/>
    <w:rsid w:val="001941E0"/>
    <w:rsid w:val="0019424C"/>
    <w:rsid w:val="001943C0"/>
    <w:rsid w:val="001944A1"/>
    <w:rsid w:val="00194579"/>
    <w:rsid w:val="001945D4"/>
    <w:rsid w:val="0019474C"/>
    <w:rsid w:val="00194B12"/>
    <w:rsid w:val="00194B6A"/>
    <w:rsid w:val="00194CA0"/>
    <w:rsid w:val="00194DF5"/>
    <w:rsid w:val="00194E86"/>
    <w:rsid w:val="001950F5"/>
    <w:rsid w:val="00195166"/>
    <w:rsid w:val="00195379"/>
    <w:rsid w:val="001953B4"/>
    <w:rsid w:val="001954A1"/>
    <w:rsid w:val="0019594F"/>
    <w:rsid w:val="001960C6"/>
    <w:rsid w:val="001961E6"/>
    <w:rsid w:val="00196463"/>
    <w:rsid w:val="00196854"/>
    <w:rsid w:val="0019733B"/>
    <w:rsid w:val="00197A36"/>
    <w:rsid w:val="00197BFF"/>
    <w:rsid w:val="00197F71"/>
    <w:rsid w:val="001A0137"/>
    <w:rsid w:val="001A044E"/>
    <w:rsid w:val="001A05A5"/>
    <w:rsid w:val="001A07DC"/>
    <w:rsid w:val="001A08DD"/>
    <w:rsid w:val="001A10F3"/>
    <w:rsid w:val="001A160B"/>
    <w:rsid w:val="001A1664"/>
    <w:rsid w:val="001A1741"/>
    <w:rsid w:val="001A1E1D"/>
    <w:rsid w:val="001A1E76"/>
    <w:rsid w:val="001A2183"/>
    <w:rsid w:val="001A237F"/>
    <w:rsid w:val="001A277C"/>
    <w:rsid w:val="001A29B8"/>
    <w:rsid w:val="001A2E91"/>
    <w:rsid w:val="001A30F0"/>
    <w:rsid w:val="001A318C"/>
    <w:rsid w:val="001A32B7"/>
    <w:rsid w:val="001A32C7"/>
    <w:rsid w:val="001A3346"/>
    <w:rsid w:val="001A3408"/>
    <w:rsid w:val="001A37C6"/>
    <w:rsid w:val="001A38EF"/>
    <w:rsid w:val="001A3A6A"/>
    <w:rsid w:val="001A3B2A"/>
    <w:rsid w:val="001A3D61"/>
    <w:rsid w:val="001A3DBB"/>
    <w:rsid w:val="001A41E3"/>
    <w:rsid w:val="001A4331"/>
    <w:rsid w:val="001A499A"/>
    <w:rsid w:val="001A49F6"/>
    <w:rsid w:val="001A4A88"/>
    <w:rsid w:val="001A4CEA"/>
    <w:rsid w:val="001A528A"/>
    <w:rsid w:val="001A53F7"/>
    <w:rsid w:val="001A54FC"/>
    <w:rsid w:val="001A5630"/>
    <w:rsid w:val="001A566A"/>
    <w:rsid w:val="001A56C4"/>
    <w:rsid w:val="001A5871"/>
    <w:rsid w:val="001A5BEF"/>
    <w:rsid w:val="001A6029"/>
    <w:rsid w:val="001A63E5"/>
    <w:rsid w:val="001A698F"/>
    <w:rsid w:val="001A6A07"/>
    <w:rsid w:val="001A6E69"/>
    <w:rsid w:val="001A6EA1"/>
    <w:rsid w:val="001A6FFA"/>
    <w:rsid w:val="001A76DE"/>
    <w:rsid w:val="001A76FE"/>
    <w:rsid w:val="001A77E9"/>
    <w:rsid w:val="001A79B2"/>
    <w:rsid w:val="001A7CDD"/>
    <w:rsid w:val="001A7EC5"/>
    <w:rsid w:val="001B0022"/>
    <w:rsid w:val="001B01DE"/>
    <w:rsid w:val="001B0339"/>
    <w:rsid w:val="001B052F"/>
    <w:rsid w:val="001B07BA"/>
    <w:rsid w:val="001B0967"/>
    <w:rsid w:val="001B102E"/>
    <w:rsid w:val="001B149C"/>
    <w:rsid w:val="001B14E3"/>
    <w:rsid w:val="001B1755"/>
    <w:rsid w:val="001B1B3C"/>
    <w:rsid w:val="001B2318"/>
    <w:rsid w:val="001B23E1"/>
    <w:rsid w:val="001B29A8"/>
    <w:rsid w:val="001B2BAA"/>
    <w:rsid w:val="001B2DF0"/>
    <w:rsid w:val="001B3029"/>
    <w:rsid w:val="001B31E3"/>
    <w:rsid w:val="001B32D4"/>
    <w:rsid w:val="001B359F"/>
    <w:rsid w:val="001B3946"/>
    <w:rsid w:val="001B3B08"/>
    <w:rsid w:val="001B433F"/>
    <w:rsid w:val="001B45DD"/>
    <w:rsid w:val="001B471B"/>
    <w:rsid w:val="001B47DA"/>
    <w:rsid w:val="001B4A45"/>
    <w:rsid w:val="001B4D7E"/>
    <w:rsid w:val="001B4DC4"/>
    <w:rsid w:val="001B5093"/>
    <w:rsid w:val="001B5158"/>
    <w:rsid w:val="001B55DE"/>
    <w:rsid w:val="001B5962"/>
    <w:rsid w:val="001B5C59"/>
    <w:rsid w:val="001B5E6E"/>
    <w:rsid w:val="001B5EB0"/>
    <w:rsid w:val="001B5ED3"/>
    <w:rsid w:val="001B5F20"/>
    <w:rsid w:val="001B6424"/>
    <w:rsid w:val="001B698B"/>
    <w:rsid w:val="001B713B"/>
    <w:rsid w:val="001B7421"/>
    <w:rsid w:val="001B77CB"/>
    <w:rsid w:val="001B788B"/>
    <w:rsid w:val="001C06A7"/>
    <w:rsid w:val="001C0772"/>
    <w:rsid w:val="001C07A6"/>
    <w:rsid w:val="001C0B95"/>
    <w:rsid w:val="001C0D70"/>
    <w:rsid w:val="001C0F05"/>
    <w:rsid w:val="001C184F"/>
    <w:rsid w:val="001C19D1"/>
    <w:rsid w:val="001C1AC3"/>
    <w:rsid w:val="001C1CCB"/>
    <w:rsid w:val="001C21EA"/>
    <w:rsid w:val="001C250B"/>
    <w:rsid w:val="001C2D0B"/>
    <w:rsid w:val="001C2DA1"/>
    <w:rsid w:val="001C2E76"/>
    <w:rsid w:val="001C2FD9"/>
    <w:rsid w:val="001C314F"/>
    <w:rsid w:val="001C3166"/>
    <w:rsid w:val="001C37F0"/>
    <w:rsid w:val="001C38CF"/>
    <w:rsid w:val="001C3B83"/>
    <w:rsid w:val="001C3C51"/>
    <w:rsid w:val="001C3DE4"/>
    <w:rsid w:val="001C3DF8"/>
    <w:rsid w:val="001C3ED4"/>
    <w:rsid w:val="001C3F07"/>
    <w:rsid w:val="001C40C5"/>
    <w:rsid w:val="001C4213"/>
    <w:rsid w:val="001C42A2"/>
    <w:rsid w:val="001C4365"/>
    <w:rsid w:val="001C494B"/>
    <w:rsid w:val="001C4D1F"/>
    <w:rsid w:val="001C572D"/>
    <w:rsid w:val="001C5D86"/>
    <w:rsid w:val="001C5EBF"/>
    <w:rsid w:val="001C6447"/>
    <w:rsid w:val="001C698C"/>
    <w:rsid w:val="001C6CFD"/>
    <w:rsid w:val="001C6F1E"/>
    <w:rsid w:val="001C7175"/>
    <w:rsid w:val="001C7818"/>
    <w:rsid w:val="001C7879"/>
    <w:rsid w:val="001C7B0B"/>
    <w:rsid w:val="001C7E6E"/>
    <w:rsid w:val="001C7EBE"/>
    <w:rsid w:val="001C7FC1"/>
    <w:rsid w:val="001D01D6"/>
    <w:rsid w:val="001D0315"/>
    <w:rsid w:val="001D03EC"/>
    <w:rsid w:val="001D05F4"/>
    <w:rsid w:val="001D0905"/>
    <w:rsid w:val="001D0D7B"/>
    <w:rsid w:val="001D0FC8"/>
    <w:rsid w:val="001D12D4"/>
    <w:rsid w:val="001D1321"/>
    <w:rsid w:val="001D1EBC"/>
    <w:rsid w:val="001D2341"/>
    <w:rsid w:val="001D248A"/>
    <w:rsid w:val="001D251F"/>
    <w:rsid w:val="001D2592"/>
    <w:rsid w:val="001D25CA"/>
    <w:rsid w:val="001D2830"/>
    <w:rsid w:val="001D2C5D"/>
    <w:rsid w:val="001D2DEE"/>
    <w:rsid w:val="001D2EBC"/>
    <w:rsid w:val="001D314A"/>
    <w:rsid w:val="001D31A9"/>
    <w:rsid w:val="001D336A"/>
    <w:rsid w:val="001D3C9E"/>
    <w:rsid w:val="001D40C2"/>
    <w:rsid w:val="001D41E0"/>
    <w:rsid w:val="001D4246"/>
    <w:rsid w:val="001D429A"/>
    <w:rsid w:val="001D485C"/>
    <w:rsid w:val="001D4A2F"/>
    <w:rsid w:val="001D4AC4"/>
    <w:rsid w:val="001D4D5E"/>
    <w:rsid w:val="001D4F3C"/>
    <w:rsid w:val="001D500B"/>
    <w:rsid w:val="001D521E"/>
    <w:rsid w:val="001D5415"/>
    <w:rsid w:val="001D5747"/>
    <w:rsid w:val="001D59FF"/>
    <w:rsid w:val="001D5AC9"/>
    <w:rsid w:val="001D5F36"/>
    <w:rsid w:val="001D62B6"/>
    <w:rsid w:val="001D64E0"/>
    <w:rsid w:val="001D667E"/>
    <w:rsid w:val="001D6909"/>
    <w:rsid w:val="001D6A47"/>
    <w:rsid w:val="001D6A64"/>
    <w:rsid w:val="001D6C38"/>
    <w:rsid w:val="001D70B0"/>
    <w:rsid w:val="001D711E"/>
    <w:rsid w:val="001D72AD"/>
    <w:rsid w:val="001D76DC"/>
    <w:rsid w:val="001D7761"/>
    <w:rsid w:val="001D7D35"/>
    <w:rsid w:val="001E0315"/>
    <w:rsid w:val="001E0495"/>
    <w:rsid w:val="001E06BA"/>
    <w:rsid w:val="001E091E"/>
    <w:rsid w:val="001E0B1D"/>
    <w:rsid w:val="001E0C32"/>
    <w:rsid w:val="001E1057"/>
    <w:rsid w:val="001E14EC"/>
    <w:rsid w:val="001E1702"/>
    <w:rsid w:val="001E1983"/>
    <w:rsid w:val="001E22F2"/>
    <w:rsid w:val="001E2500"/>
    <w:rsid w:val="001E2690"/>
    <w:rsid w:val="001E2AB5"/>
    <w:rsid w:val="001E2E07"/>
    <w:rsid w:val="001E3582"/>
    <w:rsid w:val="001E38A7"/>
    <w:rsid w:val="001E3912"/>
    <w:rsid w:val="001E3919"/>
    <w:rsid w:val="001E3CA9"/>
    <w:rsid w:val="001E42C0"/>
    <w:rsid w:val="001E4B11"/>
    <w:rsid w:val="001E4CBD"/>
    <w:rsid w:val="001E50C0"/>
    <w:rsid w:val="001E58ED"/>
    <w:rsid w:val="001E59F2"/>
    <w:rsid w:val="001E5AAA"/>
    <w:rsid w:val="001E5ED8"/>
    <w:rsid w:val="001E60BA"/>
    <w:rsid w:val="001E62C5"/>
    <w:rsid w:val="001E636E"/>
    <w:rsid w:val="001E64C1"/>
    <w:rsid w:val="001E65F9"/>
    <w:rsid w:val="001E6871"/>
    <w:rsid w:val="001E6C36"/>
    <w:rsid w:val="001E70D1"/>
    <w:rsid w:val="001E74FE"/>
    <w:rsid w:val="001E7565"/>
    <w:rsid w:val="001E7900"/>
    <w:rsid w:val="001E7A04"/>
    <w:rsid w:val="001E7BB5"/>
    <w:rsid w:val="001F003C"/>
    <w:rsid w:val="001F01A9"/>
    <w:rsid w:val="001F038D"/>
    <w:rsid w:val="001F0D37"/>
    <w:rsid w:val="001F0E8A"/>
    <w:rsid w:val="001F14C6"/>
    <w:rsid w:val="001F1887"/>
    <w:rsid w:val="001F194D"/>
    <w:rsid w:val="001F1E0B"/>
    <w:rsid w:val="001F1ECF"/>
    <w:rsid w:val="001F20B5"/>
    <w:rsid w:val="001F20E0"/>
    <w:rsid w:val="001F249D"/>
    <w:rsid w:val="001F26C2"/>
    <w:rsid w:val="001F26D3"/>
    <w:rsid w:val="001F2C61"/>
    <w:rsid w:val="001F2D5F"/>
    <w:rsid w:val="001F2E47"/>
    <w:rsid w:val="001F34FA"/>
    <w:rsid w:val="001F3588"/>
    <w:rsid w:val="001F39AE"/>
    <w:rsid w:val="001F3B4D"/>
    <w:rsid w:val="001F3D89"/>
    <w:rsid w:val="001F3F82"/>
    <w:rsid w:val="001F40DC"/>
    <w:rsid w:val="001F4346"/>
    <w:rsid w:val="001F436A"/>
    <w:rsid w:val="001F45DF"/>
    <w:rsid w:val="001F4A35"/>
    <w:rsid w:val="001F4CA9"/>
    <w:rsid w:val="001F4EF6"/>
    <w:rsid w:val="001F586F"/>
    <w:rsid w:val="001F6774"/>
    <w:rsid w:val="001F6B36"/>
    <w:rsid w:val="001F6CDF"/>
    <w:rsid w:val="001F6CE9"/>
    <w:rsid w:val="001F6CEE"/>
    <w:rsid w:val="001F701A"/>
    <w:rsid w:val="001F7142"/>
    <w:rsid w:val="001F7160"/>
    <w:rsid w:val="001F7174"/>
    <w:rsid w:val="001F734C"/>
    <w:rsid w:val="001F76D0"/>
    <w:rsid w:val="001F793D"/>
    <w:rsid w:val="001F7C2B"/>
    <w:rsid w:val="001F7D85"/>
    <w:rsid w:val="001F7DAB"/>
    <w:rsid w:val="00200126"/>
    <w:rsid w:val="00200228"/>
    <w:rsid w:val="0020026C"/>
    <w:rsid w:val="00200336"/>
    <w:rsid w:val="0020035C"/>
    <w:rsid w:val="00200836"/>
    <w:rsid w:val="002008C8"/>
    <w:rsid w:val="00200A40"/>
    <w:rsid w:val="00200A6A"/>
    <w:rsid w:val="00200CDD"/>
    <w:rsid w:val="0020140F"/>
    <w:rsid w:val="002015FB"/>
    <w:rsid w:val="00201918"/>
    <w:rsid w:val="002019D7"/>
    <w:rsid w:val="00201A99"/>
    <w:rsid w:val="00201B29"/>
    <w:rsid w:val="00201E07"/>
    <w:rsid w:val="00201F4A"/>
    <w:rsid w:val="002022D2"/>
    <w:rsid w:val="0020234D"/>
    <w:rsid w:val="00202500"/>
    <w:rsid w:val="00202825"/>
    <w:rsid w:val="00202A46"/>
    <w:rsid w:val="00203150"/>
    <w:rsid w:val="002035B2"/>
    <w:rsid w:val="002035C5"/>
    <w:rsid w:val="002036AF"/>
    <w:rsid w:val="002036D0"/>
    <w:rsid w:val="002038D5"/>
    <w:rsid w:val="00203B3E"/>
    <w:rsid w:val="00203BAF"/>
    <w:rsid w:val="00203EB8"/>
    <w:rsid w:val="00203F13"/>
    <w:rsid w:val="002041F0"/>
    <w:rsid w:val="00204848"/>
    <w:rsid w:val="002048E6"/>
    <w:rsid w:val="00204C9C"/>
    <w:rsid w:val="0020529D"/>
    <w:rsid w:val="0020570D"/>
    <w:rsid w:val="0020574C"/>
    <w:rsid w:val="00205ED5"/>
    <w:rsid w:val="002061DD"/>
    <w:rsid w:val="0020650D"/>
    <w:rsid w:val="002069A5"/>
    <w:rsid w:val="00207240"/>
    <w:rsid w:val="0020758A"/>
    <w:rsid w:val="002078D8"/>
    <w:rsid w:val="002079AC"/>
    <w:rsid w:val="00207A61"/>
    <w:rsid w:val="00207D51"/>
    <w:rsid w:val="0021096B"/>
    <w:rsid w:val="00210A52"/>
    <w:rsid w:val="00210CC4"/>
    <w:rsid w:val="002110B0"/>
    <w:rsid w:val="002111A4"/>
    <w:rsid w:val="00211588"/>
    <w:rsid w:val="00211866"/>
    <w:rsid w:val="00211C95"/>
    <w:rsid w:val="00211CAA"/>
    <w:rsid w:val="00212086"/>
    <w:rsid w:val="002126C2"/>
    <w:rsid w:val="00212B19"/>
    <w:rsid w:val="0021323D"/>
    <w:rsid w:val="00213504"/>
    <w:rsid w:val="00213811"/>
    <w:rsid w:val="00213C17"/>
    <w:rsid w:val="00213E63"/>
    <w:rsid w:val="00213F86"/>
    <w:rsid w:val="002140F8"/>
    <w:rsid w:val="0021432C"/>
    <w:rsid w:val="002149A4"/>
    <w:rsid w:val="00214E9D"/>
    <w:rsid w:val="0021522B"/>
    <w:rsid w:val="0021551B"/>
    <w:rsid w:val="0021562E"/>
    <w:rsid w:val="0021570E"/>
    <w:rsid w:val="00215A7C"/>
    <w:rsid w:val="00215BF4"/>
    <w:rsid w:val="00215CC8"/>
    <w:rsid w:val="00215FF9"/>
    <w:rsid w:val="0021603A"/>
    <w:rsid w:val="00216258"/>
    <w:rsid w:val="002163C1"/>
    <w:rsid w:val="0021658B"/>
    <w:rsid w:val="0021659F"/>
    <w:rsid w:val="00216634"/>
    <w:rsid w:val="00216870"/>
    <w:rsid w:val="002168B2"/>
    <w:rsid w:val="002168B4"/>
    <w:rsid w:val="002169BE"/>
    <w:rsid w:val="00216DA9"/>
    <w:rsid w:val="0021725D"/>
    <w:rsid w:val="0021758E"/>
    <w:rsid w:val="002178F5"/>
    <w:rsid w:val="00217A45"/>
    <w:rsid w:val="0022009C"/>
    <w:rsid w:val="00220834"/>
    <w:rsid w:val="0022097D"/>
    <w:rsid w:val="002209C9"/>
    <w:rsid w:val="00221780"/>
    <w:rsid w:val="0022192D"/>
    <w:rsid w:val="00221B13"/>
    <w:rsid w:val="00221D97"/>
    <w:rsid w:val="00221F60"/>
    <w:rsid w:val="00221F9D"/>
    <w:rsid w:val="0022206A"/>
    <w:rsid w:val="0022208A"/>
    <w:rsid w:val="00222234"/>
    <w:rsid w:val="00222324"/>
    <w:rsid w:val="002223B0"/>
    <w:rsid w:val="002223D1"/>
    <w:rsid w:val="002223F7"/>
    <w:rsid w:val="002224B8"/>
    <w:rsid w:val="002224C3"/>
    <w:rsid w:val="0022280B"/>
    <w:rsid w:val="00222B64"/>
    <w:rsid w:val="00222D3F"/>
    <w:rsid w:val="002235F6"/>
    <w:rsid w:val="00223685"/>
    <w:rsid w:val="00223A46"/>
    <w:rsid w:val="00223ACE"/>
    <w:rsid w:val="00223C4B"/>
    <w:rsid w:val="00223F12"/>
    <w:rsid w:val="002241EF"/>
    <w:rsid w:val="0022458A"/>
    <w:rsid w:val="00224897"/>
    <w:rsid w:val="00224CB8"/>
    <w:rsid w:val="00224EAD"/>
    <w:rsid w:val="002256AB"/>
    <w:rsid w:val="0022579C"/>
    <w:rsid w:val="002257A1"/>
    <w:rsid w:val="00225AC0"/>
    <w:rsid w:val="00225E76"/>
    <w:rsid w:val="00225EDD"/>
    <w:rsid w:val="00226574"/>
    <w:rsid w:val="00226712"/>
    <w:rsid w:val="002269BA"/>
    <w:rsid w:val="00226A1C"/>
    <w:rsid w:val="00226F2E"/>
    <w:rsid w:val="00226F3C"/>
    <w:rsid w:val="002270FE"/>
    <w:rsid w:val="002274E2"/>
    <w:rsid w:val="002274E8"/>
    <w:rsid w:val="002275DC"/>
    <w:rsid w:val="00227897"/>
    <w:rsid w:val="00227AAE"/>
    <w:rsid w:val="00227B55"/>
    <w:rsid w:val="00230118"/>
    <w:rsid w:val="0023013F"/>
    <w:rsid w:val="00230198"/>
    <w:rsid w:val="0023048B"/>
    <w:rsid w:val="00231403"/>
    <w:rsid w:val="00231531"/>
    <w:rsid w:val="0023153D"/>
    <w:rsid w:val="00231554"/>
    <w:rsid w:val="00231D25"/>
    <w:rsid w:val="00231D5B"/>
    <w:rsid w:val="0023233F"/>
    <w:rsid w:val="0023248E"/>
    <w:rsid w:val="0023249A"/>
    <w:rsid w:val="00232F55"/>
    <w:rsid w:val="002332B4"/>
    <w:rsid w:val="0023342D"/>
    <w:rsid w:val="00233508"/>
    <w:rsid w:val="002338D9"/>
    <w:rsid w:val="00233AF6"/>
    <w:rsid w:val="00233DCC"/>
    <w:rsid w:val="00233F68"/>
    <w:rsid w:val="00233F85"/>
    <w:rsid w:val="002343C5"/>
    <w:rsid w:val="00234459"/>
    <w:rsid w:val="0023467B"/>
    <w:rsid w:val="00234687"/>
    <w:rsid w:val="0023524A"/>
    <w:rsid w:val="00235ACB"/>
    <w:rsid w:val="00235DFE"/>
    <w:rsid w:val="0023619C"/>
    <w:rsid w:val="00236246"/>
    <w:rsid w:val="002362FC"/>
    <w:rsid w:val="002366FE"/>
    <w:rsid w:val="00236814"/>
    <w:rsid w:val="00236A54"/>
    <w:rsid w:val="0023717B"/>
    <w:rsid w:val="00237698"/>
    <w:rsid w:val="00237778"/>
    <w:rsid w:val="00237795"/>
    <w:rsid w:val="00237C86"/>
    <w:rsid w:val="00237CB5"/>
    <w:rsid w:val="00237E57"/>
    <w:rsid w:val="002406D0"/>
    <w:rsid w:val="0024085D"/>
    <w:rsid w:val="002409C6"/>
    <w:rsid w:val="00240AF5"/>
    <w:rsid w:val="002412CA"/>
    <w:rsid w:val="00241AFF"/>
    <w:rsid w:val="00241B66"/>
    <w:rsid w:val="00241BCF"/>
    <w:rsid w:val="00241C83"/>
    <w:rsid w:val="00241D64"/>
    <w:rsid w:val="00241DEC"/>
    <w:rsid w:val="00241F1E"/>
    <w:rsid w:val="002421EB"/>
    <w:rsid w:val="002427E7"/>
    <w:rsid w:val="002429FF"/>
    <w:rsid w:val="00242B48"/>
    <w:rsid w:val="00242BDB"/>
    <w:rsid w:val="00242FCF"/>
    <w:rsid w:val="0024377C"/>
    <w:rsid w:val="002437E5"/>
    <w:rsid w:val="00243A95"/>
    <w:rsid w:val="00244144"/>
    <w:rsid w:val="00244376"/>
    <w:rsid w:val="0024442B"/>
    <w:rsid w:val="00244B36"/>
    <w:rsid w:val="00244C59"/>
    <w:rsid w:val="00244C73"/>
    <w:rsid w:val="00244D17"/>
    <w:rsid w:val="00244EE2"/>
    <w:rsid w:val="002453E3"/>
    <w:rsid w:val="0024598A"/>
    <w:rsid w:val="00245D2C"/>
    <w:rsid w:val="00245E71"/>
    <w:rsid w:val="00246152"/>
    <w:rsid w:val="00246354"/>
    <w:rsid w:val="0024648B"/>
    <w:rsid w:val="00246702"/>
    <w:rsid w:val="00246865"/>
    <w:rsid w:val="002470DB"/>
    <w:rsid w:val="00247278"/>
    <w:rsid w:val="00247385"/>
    <w:rsid w:val="0024743A"/>
    <w:rsid w:val="002478DC"/>
    <w:rsid w:val="00247DB1"/>
    <w:rsid w:val="00247F05"/>
    <w:rsid w:val="002504A7"/>
    <w:rsid w:val="00250727"/>
    <w:rsid w:val="00250884"/>
    <w:rsid w:val="002508EC"/>
    <w:rsid w:val="0025094C"/>
    <w:rsid w:val="00250FD5"/>
    <w:rsid w:val="002513F5"/>
    <w:rsid w:val="00251644"/>
    <w:rsid w:val="00251727"/>
    <w:rsid w:val="0025197C"/>
    <w:rsid w:val="00251981"/>
    <w:rsid w:val="00251B64"/>
    <w:rsid w:val="00251CF3"/>
    <w:rsid w:val="00252A21"/>
    <w:rsid w:val="00252E27"/>
    <w:rsid w:val="00253587"/>
    <w:rsid w:val="00253741"/>
    <w:rsid w:val="002538A5"/>
    <w:rsid w:val="002539A5"/>
    <w:rsid w:val="00253DBD"/>
    <w:rsid w:val="00254329"/>
    <w:rsid w:val="00254370"/>
    <w:rsid w:val="0025446C"/>
    <w:rsid w:val="00254CC4"/>
    <w:rsid w:val="002550BB"/>
    <w:rsid w:val="002558CE"/>
    <w:rsid w:val="00255BB5"/>
    <w:rsid w:val="00255C9F"/>
    <w:rsid w:val="0025602D"/>
    <w:rsid w:val="002564E6"/>
    <w:rsid w:val="00256AF7"/>
    <w:rsid w:val="00256ECE"/>
    <w:rsid w:val="002574BF"/>
    <w:rsid w:val="00257862"/>
    <w:rsid w:val="002579F8"/>
    <w:rsid w:val="00260184"/>
    <w:rsid w:val="002607FE"/>
    <w:rsid w:val="00260D24"/>
    <w:rsid w:val="00261195"/>
    <w:rsid w:val="0026123F"/>
    <w:rsid w:val="002612EF"/>
    <w:rsid w:val="00261335"/>
    <w:rsid w:val="0026136E"/>
    <w:rsid w:val="00261D53"/>
    <w:rsid w:val="00261E85"/>
    <w:rsid w:val="002621C1"/>
    <w:rsid w:val="00262254"/>
    <w:rsid w:val="0026234B"/>
    <w:rsid w:val="00262704"/>
    <w:rsid w:val="00262B05"/>
    <w:rsid w:val="002630D3"/>
    <w:rsid w:val="00263541"/>
    <w:rsid w:val="002635E2"/>
    <w:rsid w:val="00263A2C"/>
    <w:rsid w:val="00263D88"/>
    <w:rsid w:val="00263DAB"/>
    <w:rsid w:val="002640ED"/>
    <w:rsid w:val="0026412A"/>
    <w:rsid w:val="00264370"/>
    <w:rsid w:val="002646D8"/>
    <w:rsid w:val="00264845"/>
    <w:rsid w:val="00264E58"/>
    <w:rsid w:val="00264E6E"/>
    <w:rsid w:val="00264E99"/>
    <w:rsid w:val="00265195"/>
    <w:rsid w:val="00265996"/>
    <w:rsid w:val="002659B2"/>
    <w:rsid w:val="00265AEC"/>
    <w:rsid w:val="00265B29"/>
    <w:rsid w:val="00265B85"/>
    <w:rsid w:val="002665B6"/>
    <w:rsid w:val="00266963"/>
    <w:rsid w:val="00266A58"/>
    <w:rsid w:val="00266ABF"/>
    <w:rsid w:val="00266B0C"/>
    <w:rsid w:val="00266E4B"/>
    <w:rsid w:val="00266FA6"/>
    <w:rsid w:val="0026721C"/>
    <w:rsid w:val="00267FDE"/>
    <w:rsid w:val="002705DB"/>
    <w:rsid w:val="00270C41"/>
    <w:rsid w:val="00270FD9"/>
    <w:rsid w:val="00271A07"/>
    <w:rsid w:val="00271B6E"/>
    <w:rsid w:val="00271F6F"/>
    <w:rsid w:val="00272143"/>
    <w:rsid w:val="00272697"/>
    <w:rsid w:val="00272B4A"/>
    <w:rsid w:val="00272B68"/>
    <w:rsid w:val="00272EC1"/>
    <w:rsid w:val="00273110"/>
    <w:rsid w:val="0027495D"/>
    <w:rsid w:val="002749C8"/>
    <w:rsid w:val="00274C6D"/>
    <w:rsid w:val="00274DC0"/>
    <w:rsid w:val="00274E05"/>
    <w:rsid w:val="002750BA"/>
    <w:rsid w:val="00275265"/>
    <w:rsid w:val="002753D8"/>
    <w:rsid w:val="00275815"/>
    <w:rsid w:val="00275A78"/>
    <w:rsid w:val="00275F99"/>
    <w:rsid w:val="00276067"/>
    <w:rsid w:val="0027612B"/>
    <w:rsid w:val="00276188"/>
    <w:rsid w:val="00276195"/>
    <w:rsid w:val="0027636D"/>
    <w:rsid w:val="002763CC"/>
    <w:rsid w:val="002763F0"/>
    <w:rsid w:val="00276491"/>
    <w:rsid w:val="00276C18"/>
    <w:rsid w:val="00276D84"/>
    <w:rsid w:val="00276EE5"/>
    <w:rsid w:val="002770ED"/>
    <w:rsid w:val="00277326"/>
    <w:rsid w:val="00277575"/>
    <w:rsid w:val="002777AE"/>
    <w:rsid w:val="00277A1F"/>
    <w:rsid w:val="00277F0F"/>
    <w:rsid w:val="00277FC4"/>
    <w:rsid w:val="00280789"/>
    <w:rsid w:val="00280C4C"/>
    <w:rsid w:val="00280EF5"/>
    <w:rsid w:val="002810D2"/>
    <w:rsid w:val="002811E8"/>
    <w:rsid w:val="0028122E"/>
    <w:rsid w:val="0028124D"/>
    <w:rsid w:val="00281F01"/>
    <w:rsid w:val="0028249E"/>
    <w:rsid w:val="002826D9"/>
    <w:rsid w:val="0028277C"/>
    <w:rsid w:val="002827D0"/>
    <w:rsid w:val="00282870"/>
    <w:rsid w:val="00282AED"/>
    <w:rsid w:val="00282CB0"/>
    <w:rsid w:val="00282D8C"/>
    <w:rsid w:val="00282DE0"/>
    <w:rsid w:val="00283044"/>
    <w:rsid w:val="002834B7"/>
    <w:rsid w:val="00283919"/>
    <w:rsid w:val="00283C25"/>
    <w:rsid w:val="00283CA8"/>
    <w:rsid w:val="00283CAD"/>
    <w:rsid w:val="00283DF7"/>
    <w:rsid w:val="00283E0B"/>
    <w:rsid w:val="0028406D"/>
    <w:rsid w:val="0028412E"/>
    <w:rsid w:val="002843EA"/>
    <w:rsid w:val="00284485"/>
    <w:rsid w:val="00284AD6"/>
    <w:rsid w:val="00284D7E"/>
    <w:rsid w:val="002850AE"/>
    <w:rsid w:val="0028539F"/>
    <w:rsid w:val="002853D5"/>
    <w:rsid w:val="00285A30"/>
    <w:rsid w:val="00285D56"/>
    <w:rsid w:val="00285DD4"/>
    <w:rsid w:val="00285F17"/>
    <w:rsid w:val="002872FB"/>
    <w:rsid w:val="002873C4"/>
    <w:rsid w:val="00287653"/>
    <w:rsid w:val="002879A4"/>
    <w:rsid w:val="00287A3B"/>
    <w:rsid w:val="00287C46"/>
    <w:rsid w:val="00287D32"/>
    <w:rsid w:val="00287E87"/>
    <w:rsid w:val="002900F1"/>
    <w:rsid w:val="002903DD"/>
    <w:rsid w:val="002905E5"/>
    <w:rsid w:val="00290940"/>
    <w:rsid w:val="00290DFB"/>
    <w:rsid w:val="00290F6F"/>
    <w:rsid w:val="00290FAA"/>
    <w:rsid w:val="00291174"/>
    <w:rsid w:val="00291AFB"/>
    <w:rsid w:val="00291BB4"/>
    <w:rsid w:val="00292044"/>
    <w:rsid w:val="002925F7"/>
    <w:rsid w:val="00292A0B"/>
    <w:rsid w:val="00292E8E"/>
    <w:rsid w:val="00292EEA"/>
    <w:rsid w:val="00292F1C"/>
    <w:rsid w:val="00292F81"/>
    <w:rsid w:val="00293158"/>
    <w:rsid w:val="0029318D"/>
    <w:rsid w:val="00293440"/>
    <w:rsid w:val="00293480"/>
    <w:rsid w:val="00293611"/>
    <w:rsid w:val="0029408E"/>
    <w:rsid w:val="00294424"/>
    <w:rsid w:val="00294BA4"/>
    <w:rsid w:val="00294D14"/>
    <w:rsid w:val="002952CB"/>
    <w:rsid w:val="00295646"/>
    <w:rsid w:val="00295C92"/>
    <w:rsid w:val="00295CC3"/>
    <w:rsid w:val="00295DD5"/>
    <w:rsid w:val="002963C4"/>
    <w:rsid w:val="002966F3"/>
    <w:rsid w:val="002968EC"/>
    <w:rsid w:val="00296971"/>
    <w:rsid w:val="00296BCA"/>
    <w:rsid w:val="00296E71"/>
    <w:rsid w:val="0029754F"/>
    <w:rsid w:val="002976F6"/>
    <w:rsid w:val="0029772E"/>
    <w:rsid w:val="0029785F"/>
    <w:rsid w:val="00297C70"/>
    <w:rsid w:val="002A0169"/>
    <w:rsid w:val="002A028E"/>
    <w:rsid w:val="002A0560"/>
    <w:rsid w:val="002A0877"/>
    <w:rsid w:val="002A09B7"/>
    <w:rsid w:val="002A0C1F"/>
    <w:rsid w:val="002A125A"/>
    <w:rsid w:val="002A17FE"/>
    <w:rsid w:val="002A2273"/>
    <w:rsid w:val="002A236D"/>
    <w:rsid w:val="002A2483"/>
    <w:rsid w:val="002A25DC"/>
    <w:rsid w:val="002A264A"/>
    <w:rsid w:val="002A28FB"/>
    <w:rsid w:val="002A2A4B"/>
    <w:rsid w:val="002A2BD4"/>
    <w:rsid w:val="002A2C33"/>
    <w:rsid w:val="002A2FC1"/>
    <w:rsid w:val="002A342D"/>
    <w:rsid w:val="002A34EF"/>
    <w:rsid w:val="002A3787"/>
    <w:rsid w:val="002A3AE4"/>
    <w:rsid w:val="002A3CF3"/>
    <w:rsid w:val="002A3D1D"/>
    <w:rsid w:val="002A3D78"/>
    <w:rsid w:val="002A4008"/>
    <w:rsid w:val="002A4569"/>
    <w:rsid w:val="002A473C"/>
    <w:rsid w:val="002A49AA"/>
    <w:rsid w:val="002A4A94"/>
    <w:rsid w:val="002A4BAD"/>
    <w:rsid w:val="002A4E1F"/>
    <w:rsid w:val="002A4FE8"/>
    <w:rsid w:val="002A515C"/>
    <w:rsid w:val="002A5B7A"/>
    <w:rsid w:val="002A5F60"/>
    <w:rsid w:val="002A627B"/>
    <w:rsid w:val="002A6504"/>
    <w:rsid w:val="002A6610"/>
    <w:rsid w:val="002A6E57"/>
    <w:rsid w:val="002A7001"/>
    <w:rsid w:val="002A746C"/>
    <w:rsid w:val="002A7720"/>
    <w:rsid w:val="002A7821"/>
    <w:rsid w:val="002A7B5D"/>
    <w:rsid w:val="002A7CE5"/>
    <w:rsid w:val="002B001D"/>
    <w:rsid w:val="002B01E4"/>
    <w:rsid w:val="002B02D8"/>
    <w:rsid w:val="002B0430"/>
    <w:rsid w:val="002B05AD"/>
    <w:rsid w:val="002B05F1"/>
    <w:rsid w:val="002B0826"/>
    <w:rsid w:val="002B08B9"/>
    <w:rsid w:val="002B0A81"/>
    <w:rsid w:val="002B0B30"/>
    <w:rsid w:val="002B0D63"/>
    <w:rsid w:val="002B1726"/>
    <w:rsid w:val="002B1731"/>
    <w:rsid w:val="002B1B13"/>
    <w:rsid w:val="002B1BD2"/>
    <w:rsid w:val="002B1C54"/>
    <w:rsid w:val="002B1E3A"/>
    <w:rsid w:val="002B1EF8"/>
    <w:rsid w:val="002B2777"/>
    <w:rsid w:val="002B2987"/>
    <w:rsid w:val="002B2A75"/>
    <w:rsid w:val="002B2E9C"/>
    <w:rsid w:val="002B2EFA"/>
    <w:rsid w:val="002B2FF1"/>
    <w:rsid w:val="002B3029"/>
    <w:rsid w:val="002B3501"/>
    <w:rsid w:val="002B3784"/>
    <w:rsid w:val="002B3BC8"/>
    <w:rsid w:val="002B3CFE"/>
    <w:rsid w:val="002B3F23"/>
    <w:rsid w:val="002B4086"/>
    <w:rsid w:val="002B40B4"/>
    <w:rsid w:val="002B42C3"/>
    <w:rsid w:val="002B4672"/>
    <w:rsid w:val="002B48DF"/>
    <w:rsid w:val="002B4995"/>
    <w:rsid w:val="002B4BD9"/>
    <w:rsid w:val="002B4E6D"/>
    <w:rsid w:val="002B510D"/>
    <w:rsid w:val="002B51D4"/>
    <w:rsid w:val="002B53CA"/>
    <w:rsid w:val="002B53D4"/>
    <w:rsid w:val="002B541A"/>
    <w:rsid w:val="002B59F1"/>
    <w:rsid w:val="002B5C72"/>
    <w:rsid w:val="002B6605"/>
    <w:rsid w:val="002B6AE9"/>
    <w:rsid w:val="002B747C"/>
    <w:rsid w:val="002B74CB"/>
    <w:rsid w:val="002B757B"/>
    <w:rsid w:val="002B79E6"/>
    <w:rsid w:val="002B79ED"/>
    <w:rsid w:val="002B7EAA"/>
    <w:rsid w:val="002B7F8C"/>
    <w:rsid w:val="002C00C5"/>
    <w:rsid w:val="002C0303"/>
    <w:rsid w:val="002C050E"/>
    <w:rsid w:val="002C058E"/>
    <w:rsid w:val="002C0A0A"/>
    <w:rsid w:val="002C0F1C"/>
    <w:rsid w:val="002C11E2"/>
    <w:rsid w:val="002C12CB"/>
    <w:rsid w:val="002C1316"/>
    <w:rsid w:val="002C1CBB"/>
    <w:rsid w:val="002C1E39"/>
    <w:rsid w:val="002C20AD"/>
    <w:rsid w:val="002C236C"/>
    <w:rsid w:val="002C26E0"/>
    <w:rsid w:val="002C281E"/>
    <w:rsid w:val="002C2AF5"/>
    <w:rsid w:val="002C2B90"/>
    <w:rsid w:val="002C2BEE"/>
    <w:rsid w:val="002C3017"/>
    <w:rsid w:val="002C30DE"/>
    <w:rsid w:val="002C3525"/>
    <w:rsid w:val="002C359A"/>
    <w:rsid w:val="002C3A1E"/>
    <w:rsid w:val="002C3A68"/>
    <w:rsid w:val="002C3C00"/>
    <w:rsid w:val="002C3CD5"/>
    <w:rsid w:val="002C3F23"/>
    <w:rsid w:val="002C43FF"/>
    <w:rsid w:val="002C52AB"/>
    <w:rsid w:val="002C52F4"/>
    <w:rsid w:val="002C552A"/>
    <w:rsid w:val="002C5C61"/>
    <w:rsid w:val="002C5E1C"/>
    <w:rsid w:val="002C5FC9"/>
    <w:rsid w:val="002C60E5"/>
    <w:rsid w:val="002C64AA"/>
    <w:rsid w:val="002C6864"/>
    <w:rsid w:val="002C704E"/>
    <w:rsid w:val="002C75A5"/>
    <w:rsid w:val="002C77F1"/>
    <w:rsid w:val="002C7896"/>
    <w:rsid w:val="002C7B9E"/>
    <w:rsid w:val="002D000D"/>
    <w:rsid w:val="002D00B5"/>
    <w:rsid w:val="002D00DD"/>
    <w:rsid w:val="002D0100"/>
    <w:rsid w:val="002D041F"/>
    <w:rsid w:val="002D06D9"/>
    <w:rsid w:val="002D083B"/>
    <w:rsid w:val="002D0ADD"/>
    <w:rsid w:val="002D0EAF"/>
    <w:rsid w:val="002D157E"/>
    <w:rsid w:val="002D162D"/>
    <w:rsid w:val="002D17EB"/>
    <w:rsid w:val="002D1C62"/>
    <w:rsid w:val="002D1F44"/>
    <w:rsid w:val="002D20EF"/>
    <w:rsid w:val="002D2398"/>
    <w:rsid w:val="002D2549"/>
    <w:rsid w:val="002D2869"/>
    <w:rsid w:val="002D286E"/>
    <w:rsid w:val="002D2C47"/>
    <w:rsid w:val="002D2C8A"/>
    <w:rsid w:val="002D2DA1"/>
    <w:rsid w:val="002D3084"/>
    <w:rsid w:val="002D30F6"/>
    <w:rsid w:val="002D3496"/>
    <w:rsid w:val="002D3723"/>
    <w:rsid w:val="002D3846"/>
    <w:rsid w:val="002D4032"/>
    <w:rsid w:val="002D413B"/>
    <w:rsid w:val="002D4807"/>
    <w:rsid w:val="002D4808"/>
    <w:rsid w:val="002D487F"/>
    <w:rsid w:val="002D4BF9"/>
    <w:rsid w:val="002D5167"/>
    <w:rsid w:val="002D54B2"/>
    <w:rsid w:val="002D5569"/>
    <w:rsid w:val="002D556D"/>
    <w:rsid w:val="002D5730"/>
    <w:rsid w:val="002D5FF8"/>
    <w:rsid w:val="002D5FFC"/>
    <w:rsid w:val="002D6096"/>
    <w:rsid w:val="002D65A1"/>
    <w:rsid w:val="002D6A60"/>
    <w:rsid w:val="002D6B73"/>
    <w:rsid w:val="002D721C"/>
    <w:rsid w:val="002D746D"/>
    <w:rsid w:val="002D7674"/>
    <w:rsid w:val="002E0029"/>
    <w:rsid w:val="002E00BC"/>
    <w:rsid w:val="002E0275"/>
    <w:rsid w:val="002E09B4"/>
    <w:rsid w:val="002E101F"/>
    <w:rsid w:val="002E1570"/>
    <w:rsid w:val="002E17EC"/>
    <w:rsid w:val="002E180A"/>
    <w:rsid w:val="002E18C4"/>
    <w:rsid w:val="002E1F51"/>
    <w:rsid w:val="002E21EB"/>
    <w:rsid w:val="002E256F"/>
    <w:rsid w:val="002E2621"/>
    <w:rsid w:val="002E28C2"/>
    <w:rsid w:val="002E2B09"/>
    <w:rsid w:val="002E2B48"/>
    <w:rsid w:val="002E2C58"/>
    <w:rsid w:val="002E2D3E"/>
    <w:rsid w:val="002E2F82"/>
    <w:rsid w:val="002E31ED"/>
    <w:rsid w:val="002E3229"/>
    <w:rsid w:val="002E3457"/>
    <w:rsid w:val="002E3638"/>
    <w:rsid w:val="002E367C"/>
    <w:rsid w:val="002E3A6F"/>
    <w:rsid w:val="002E44D7"/>
    <w:rsid w:val="002E44EF"/>
    <w:rsid w:val="002E486F"/>
    <w:rsid w:val="002E4964"/>
    <w:rsid w:val="002E4A0E"/>
    <w:rsid w:val="002E4CC5"/>
    <w:rsid w:val="002E504D"/>
    <w:rsid w:val="002E513E"/>
    <w:rsid w:val="002E56DE"/>
    <w:rsid w:val="002E57F2"/>
    <w:rsid w:val="002E586B"/>
    <w:rsid w:val="002E59CD"/>
    <w:rsid w:val="002E607D"/>
    <w:rsid w:val="002E6239"/>
    <w:rsid w:val="002E636E"/>
    <w:rsid w:val="002E64F3"/>
    <w:rsid w:val="002E66F3"/>
    <w:rsid w:val="002E6917"/>
    <w:rsid w:val="002E695A"/>
    <w:rsid w:val="002E6EBA"/>
    <w:rsid w:val="002E70CA"/>
    <w:rsid w:val="002E732C"/>
    <w:rsid w:val="002E7F34"/>
    <w:rsid w:val="002E7F44"/>
    <w:rsid w:val="002F0414"/>
    <w:rsid w:val="002F04DF"/>
    <w:rsid w:val="002F0B1A"/>
    <w:rsid w:val="002F0CA2"/>
    <w:rsid w:val="002F1023"/>
    <w:rsid w:val="002F1209"/>
    <w:rsid w:val="002F132B"/>
    <w:rsid w:val="002F15B4"/>
    <w:rsid w:val="002F1607"/>
    <w:rsid w:val="002F16D9"/>
    <w:rsid w:val="002F17C2"/>
    <w:rsid w:val="002F190F"/>
    <w:rsid w:val="002F1C92"/>
    <w:rsid w:val="002F2215"/>
    <w:rsid w:val="002F230F"/>
    <w:rsid w:val="002F28A0"/>
    <w:rsid w:val="002F3156"/>
    <w:rsid w:val="002F3660"/>
    <w:rsid w:val="002F3B20"/>
    <w:rsid w:val="002F3B72"/>
    <w:rsid w:val="002F3E5F"/>
    <w:rsid w:val="002F3EA6"/>
    <w:rsid w:val="002F4136"/>
    <w:rsid w:val="002F4189"/>
    <w:rsid w:val="002F4720"/>
    <w:rsid w:val="002F4ABF"/>
    <w:rsid w:val="002F55F2"/>
    <w:rsid w:val="002F5821"/>
    <w:rsid w:val="002F5A3E"/>
    <w:rsid w:val="002F5B52"/>
    <w:rsid w:val="002F5E06"/>
    <w:rsid w:val="002F6400"/>
    <w:rsid w:val="002F645C"/>
    <w:rsid w:val="002F64E9"/>
    <w:rsid w:val="002F6629"/>
    <w:rsid w:val="002F679F"/>
    <w:rsid w:val="002F6C49"/>
    <w:rsid w:val="002F6E32"/>
    <w:rsid w:val="002F77C0"/>
    <w:rsid w:val="002F7A6E"/>
    <w:rsid w:val="002F7EBA"/>
    <w:rsid w:val="0030011F"/>
    <w:rsid w:val="003002E9"/>
    <w:rsid w:val="00300C33"/>
    <w:rsid w:val="00301B82"/>
    <w:rsid w:val="00302646"/>
    <w:rsid w:val="00302898"/>
    <w:rsid w:val="00302C85"/>
    <w:rsid w:val="00302DEC"/>
    <w:rsid w:val="00302F1D"/>
    <w:rsid w:val="003030CB"/>
    <w:rsid w:val="00303279"/>
    <w:rsid w:val="003035CC"/>
    <w:rsid w:val="00303954"/>
    <w:rsid w:val="00303C4E"/>
    <w:rsid w:val="00303EDB"/>
    <w:rsid w:val="00303F68"/>
    <w:rsid w:val="00304194"/>
    <w:rsid w:val="00304400"/>
    <w:rsid w:val="0030459D"/>
    <w:rsid w:val="00305656"/>
    <w:rsid w:val="00305694"/>
    <w:rsid w:val="00305B71"/>
    <w:rsid w:val="00305D84"/>
    <w:rsid w:val="00305DFF"/>
    <w:rsid w:val="00305EBF"/>
    <w:rsid w:val="00306486"/>
    <w:rsid w:val="003064B5"/>
    <w:rsid w:val="00306725"/>
    <w:rsid w:val="003068CA"/>
    <w:rsid w:val="0030697C"/>
    <w:rsid w:val="00306CA1"/>
    <w:rsid w:val="00306EB5"/>
    <w:rsid w:val="00307181"/>
    <w:rsid w:val="00307361"/>
    <w:rsid w:val="00307436"/>
    <w:rsid w:val="003079D9"/>
    <w:rsid w:val="00307D0B"/>
    <w:rsid w:val="00307EBE"/>
    <w:rsid w:val="00310479"/>
    <w:rsid w:val="00310502"/>
    <w:rsid w:val="003105ED"/>
    <w:rsid w:val="00310C36"/>
    <w:rsid w:val="003110E9"/>
    <w:rsid w:val="0031136C"/>
    <w:rsid w:val="00311370"/>
    <w:rsid w:val="0031142F"/>
    <w:rsid w:val="0031145E"/>
    <w:rsid w:val="00311A02"/>
    <w:rsid w:val="00311B4A"/>
    <w:rsid w:val="00311BA2"/>
    <w:rsid w:val="00311BFF"/>
    <w:rsid w:val="00311D01"/>
    <w:rsid w:val="00311F58"/>
    <w:rsid w:val="003122F8"/>
    <w:rsid w:val="003123ED"/>
    <w:rsid w:val="00312446"/>
    <w:rsid w:val="0031265B"/>
    <w:rsid w:val="003128E7"/>
    <w:rsid w:val="00312B27"/>
    <w:rsid w:val="00312C07"/>
    <w:rsid w:val="00313180"/>
    <w:rsid w:val="003131B7"/>
    <w:rsid w:val="003132D2"/>
    <w:rsid w:val="00313364"/>
    <w:rsid w:val="00313585"/>
    <w:rsid w:val="00313694"/>
    <w:rsid w:val="00313A2B"/>
    <w:rsid w:val="00313B99"/>
    <w:rsid w:val="00313BFC"/>
    <w:rsid w:val="00313D3A"/>
    <w:rsid w:val="00314054"/>
    <w:rsid w:val="003141C8"/>
    <w:rsid w:val="003147BC"/>
    <w:rsid w:val="0031497A"/>
    <w:rsid w:val="00314D4B"/>
    <w:rsid w:val="00314DFB"/>
    <w:rsid w:val="00314FFE"/>
    <w:rsid w:val="00315048"/>
    <w:rsid w:val="00315289"/>
    <w:rsid w:val="00315DA6"/>
    <w:rsid w:val="00315F1F"/>
    <w:rsid w:val="00316109"/>
    <w:rsid w:val="00316B0E"/>
    <w:rsid w:val="00316B78"/>
    <w:rsid w:val="00316CD0"/>
    <w:rsid w:val="00316CFF"/>
    <w:rsid w:val="00316ED4"/>
    <w:rsid w:val="00316F22"/>
    <w:rsid w:val="00317395"/>
    <w:rsid w:val="003174B0"/>
    <w:rsid w:val="0031767F"/>
    <w:rsid w:val="003177C1"/>
    <w:rsid w:val="00317B88"/>
    <w:rsid w:val="00317D4F"/>
    <w:rsid w:val="00317FB2"/>
    <w:rsid w:val="00320136"/>
    <w:rsid w:val="00320163"/>
    <w:rsid w:val="0032042D"/>
    <w:rsid w:val="003204FE"/>
    <w:rsid w:val="00320702"/>
    <w:rsid w:val="00320B29"/>
    <w:rsid w:val="00320FB2"/>
    <w:rsid w:val="0032102C"/>
    <w:rsid w:val="003210A8"/>
    <w:rsid w:val="003216BA"/>
    <w:rsid w:val="003216F6"/>
    <w:rsid w:val="003220E3"/>
    <w:rsid w:val="003223E8"/>
    <w:rsid w:val="00322498"/>
    <w:rsid w:val="00322634"/>
    <w:rsid w:val="0032279F"/>
    <w:rsid w:val="0032286D"/>
    <w:rsid w:val="00322AD0"/>
    <w:rsid w:val="00322C87"/>
    <w:rsid w:val="0032324F"/>
    <w:rsid w:val="00323522"/>
    <w:rsid w:val="00323570"/>
    <w:rsid w:val="003237A6"/>
    <w:rsid w:val="003237AD"/>
    <w:rsid w:val="00323810"/>
    <w:rsid w:val="003238EC"/>
    <w:rsid w:val="003239D5"/>
    <w:rsid w:val="00323A19"/>
    <w:rsid w:val="00323AFB"/>
    <w:rsid w:val="00324061"/>
    <w:rsid w:val="00324864"/>
    <w:rsid w:val="003248C6"/>
    <w:rsid w:val="00324CFF"/>
    <w:rsid w:val="00325012"/>
    <w:rsid w:val="003253D9"/>
    <w:rsid w:val="00325D2B"/>
    <w:rsid w:val="00325E01"/>
    <w:rsid w:val="00325F21"/>
    <w:rsid w:val="003260FE"/>
    <w:rsid w:val="00326114"/>
    <w:rsid w:val="0032629E"/>
    <w:rsid w:val="0032671B"/>
    <w:rsid w:val="0032696A"/>
    <w:rsid w:val="003270F7"/>
    <w:rsid w:val="0032727E"/>
    <w:rsid w:val="00327870"/>
    <w:rsid w:val="00327886"/>
    <w:rsid w:val="00327C7F"/>
    <w:rsid w:val="00327D57"/>
    <w:rsid w:val="003301BB"/>
    <w:rsid w:val="0033025C"/>
    <w:rsid w:val="0033096F"/>
    <w:rsid w:val="00330AE8"/>
    <w:rsid w:val="00330E0A"/>
    <w:rsid w:val="003312BF"/>
    <w:rsid w:val="00331435"/>
    <w:rsid w:val="0033158F"/>
    <w:rsid w:val="0033170F"/>
    <w:rsid w:val="00331831"/>
    <w:rsid w:val="00331A2E"/>
    <w:rsid w:val="00331CE7"/>
    <w:rsid w:val="00332405"/>
    <w:rsid w:val="0033251F"/>
    <w:rsid w:val="00332570"/>
    <w:rsid w:val="0033258E"/>
    <w:rsid w:val="003327DE"/>
    <w:rsid w:val="003327EB"/>
    <w:rsid w:val="00332A0C"/>
    <w:rsid w:val="00332E65"/>
    <w:rsid w:val="00333082"/>
    <w:rsid w:val="00333332"/>
    <w:rsid w:val="003333F0"/>
    <w:rsid w:val="003336D3"/>
    <w:rsid w:val="00333905"/>
    <w:rsid w:val="00333AC3"/>
    <w:rsid w:val="00333CB3"/>
    <w:rsid w:val="0033424A"/>
    <w:rsid w:val="0033465B"/>
    <w:rsid w:val="0033486F"/>
    <w:rsid w:val="00334C0D"/>
    <w:rsid w:val="00334CC4"/>
    <w:rsid w:val="00334CC5"/>
    <w:rsid w:val="00334DEB"/>
    <w:rsid w:val="00334EEB"/>
    <w:rsid w:val="00335520"/>
    <w:rsid w:val="003357A2"/>
    <w:rsid w:val="00335A60"/>
    <w:rsid w:val="00335BAC"/>
    <w:rsid w:val="00335BD3"/>
    <w:rsid w:val="00335D4C"/>
    <w:rsid w:val="00335FD4"/>
    <w:rsid w:val="00336002"/>
    <w:rsid w:val="003360AA"/>
    <w:rsid w:val="00336404"/>
    <w:rsid w:val="0033768E"/>
    <w:rsid w:val="00337838"/>
    <w:rsid w:val="00337974"/>
    <w:rsid w:val="003404F6"/>
    <w:rsid w:val="003407F9"/>
    <w:rsid w:val="00340B7C"/>
    <w:rsid w:val="00340FD3"/>
    <w:rsid w:val="003410C2"/>
    <w:rsid w:val="0034124B"/>
    <w:rsid w:val="0034126D"/>
    <w:rsid w:val="003412FA"/>
    <w:rsid w:val="0034169C"/>
    <w:rsid w:val="003421AD"/>
    <w:rsid w:val="003421FF"/>
    <w:rsid w:val="003424B7"/>
    <w:rsid w:val="003425B8"/>
    <w:rsid w:val="00342841"/>
    <w:rsid w:val="00342B04"/>
    <w:rsid w:val="00343091"/>
    <w:rsid w:val="00343868"/>
    <w:rsid w:val="00343920"/>
    <w:rsid w:val="00343DEE"/>
    <w:rsid w:val="00343F20"/>
    <w:rsid w:val="003441B8"/>
    <w:rsid w:val="003444AC"/>
    <w:rsid w:val="003444D8"/>
    <w:rsid w:val="00344543"/>
    <w:rsid w:val="003448CC"/>
    <w:rsid w:val="00344AC0"/>
    <w:rsid w:val="00344E94"/>
    <w:rsid w:val="00345068"/>
    <w:rsid w:val="00345232"/>
    <w:rsid w:val="00345502"/>
    <w:rsid w:val="00346387"/>
    <w:rsid w:val="00346620"/>
    <w:rsid w:val="00346760"/>
    <w:rsid w:val="00346843"/>
    <w:rsid w:val="00346949"/>
    <w:rsid w:val="00346CFB"/>
    <w:rsid w:val="00346FD0"/>
    <w:rsid w:val="00347051"/>
    <w:rsid w:val="00347572"/>
    <w:rsid w:val="00347942"/>
    <w:rsid w:val="00347961"/>
    <w:rsid w:val="00347ED7"/>
    <w:rsid w:val="00347F00"/>
    <w:rsid w:val="00350161"/>
    <w:rsid w:val="0035016D"/>
    <w:rsid w:val="003505E7"/>
    <w:rsid w:val="00350AD1"/>
    <w:rsid w:val="003512F0"/>
    <w:rsid w:val="00351B6C"/>
    <w:rsid w:val="00351C66"/>
    <w:rsid w:val="00351E86"/>
    <w:rsid w:val="003521ED"/>
    <w:rsid w:val="0035227B"/>
    <w:rsid w:val="00352A5A"/>
    <w:rsid w:val="00352DCA"/>
    <w:rsid w:val="00352DCB"/>
    <w:rsid w:val="00353086"/>
    <w:rsid w:val="00353330"/>
    <w:rsid w:val="0035398B"/>
    <w:rsid w:val="00353BEA"/>
    <w:rsid w:val="00353CEB"/>
    <w:rsid w:val="00354087"/>
    <w:rsid w:val="0035450C"/>
    <w:rsid w:val="003546E7"/>
    <w:rsid w:val="00354946"/>
    <w:rsid w:val="00354AD0"/>
    <w:rsid w:val="00354B93"/>
    <w:rsid w:val="0035511A"/>
    <w:rsid w:val="0035554F"/>
    <w:rsid w:val="003555CE"/>
    <w:rsid w:val="00355622"/>
    <w:rsid w:val="003556E6"/>
    <w:rsid w:val="0035598D"/>
    <w:rsid w:val="00355C03"/>
    <w:rsid w:val="00355DB8"/>
    <w:rsid w:val="00355E5B"/>
    <w:rsid w:val="00355E61"/>
    <w:rsid w:val="00356066"/>
    <w:rsid w:val="00356944"/>
    <w:rsid w:val="00356AA6"/>
    <w:rsid w:val="00356B44"/>
    <w:rsid w:val="00356C1A"/>
    <w:rsid w:val="00356DE3"/>
    <w:rsid w:val="00357703"/>
    <w:rsid w:val="00357866"/>
    <w:rsid w:val="0035786A"/>
    <w:rsid w:val="00357890"/>
    <w:rsid w:val="003579D7"/>
    <w:rsid w:val="00357A9A"/>
    <w:rsid w:val="00357EEE"/>
    <w:rsid w:val="0036016A"/>
    <w:rsid w:val="003602D4"/>
    <w:rsid w:val="003604CA"/>
    <w:rsid w:val="0036056A"/>
    <w:rsid w:val="00360727"/>
    <w:rsid w:val="00360D9F"/>
    <w:rsid w:val="00360E60"/>
    <w:rsid w:val="00360EAD"/>
    <w:rsid w:val="00360EAE"/>
    <w:rsid w:val="0036101F"/>
    <w:rsid w:val="00361442"/>
    <w:rsid w:val="00361654"/>
    <w:rsid w:val="003616A1"/>
    <w:rsid w:val="00361970"/>
    <w:rsid w:val="003622CC"/>
    <w:rsid w:val="003626BD"/>
    <w:rsid w:val="003629D3"/>
    <w:rsid w:val="00362BD6"/>
    <w:rsid w:val="00362E4E"/>
    <w:rsid w:val="003630F5"/>
    <w:rsid w:val="00363567"/>
    <w:rsid w:val="003642CD"/>
    <w:rsid w:val="00364632"/>
    <w:rsid w:val="00364690"/>
    <w:rsid w:val="003647C4"/>
    <w:rsid w:val="00364A2C"/>
    <w:rsid w:val="00364C3A"/>
    <w:rsid w:val="00364E0F"/>
    <w:rsid w:val="003653A6"/>
    <w:rsid w:val="003656FA"/>
    <w:rsid w:val="003657FA"/>
    <w:rsid w:val="003659AD"/>
    <w:rsid w:val="00365A05"/>
    <w:rsid w:val="00365C58"/>
    <w:rsid w:val="00365E22"/>
    <w:rsid w:val="00365F5B"/>
    <w:rsid w:val="00366025"/>
    <w:rsid w:val="00366126"/>
    <w:rsid w:val="00366807"/>
    <w:rsid w:val="00366A35"/>
    <w:rsid w:val="00366C68"/>
    <w:rsid w:val="00367010"/>
    <w:rsid w:val="0036714D"/>
    <w:rsid w:val="003675F0"/>
    <w:rsid w:val="00367D31"/>
    <w:rsid w:val="00370078"/>
    <w:rsid w:val="003700CC"/>
    <w:rsid w:val="003703E6"/>
    <w:rsid w:val="00370CC5"/>
    <w:rsid w:val="00370DF1"/>
    <w:rsid w:val="00370E21"/>
    <w:rsid w:val="00370FA9"/>
    <w:rsid w:val="00371314"/>
    <w:rsid w:val="003717FD"/>
    <w:rsid w:val="003719E5"/>
    <w:rsid w:val="00371F5A"/>
    <w:rsid w:val="00372055"/>
    <w:rsid w:val="003721F5"/>
    <w:rsid w:val="0037253E"/>
    <w:rsid w:val="003729BF"/>
    <w:rsid w:val="00372A79"/>
    <w:rsid w:val="00372AF7"/>
    <w:rsid w:val="00372F81"/>
    <w:rsid w:val="003738ED"/>
    <w:rsid w:val="00373E8E"/>
    <w:rsid w:val="00373ED3"/>
    <w:rsid w:val="00373F9F"/>
    <w:rsid w:val="0037404C"/>
    <w:rsid w:val="003743B4"/>
    <w:rsid w:val="003743C8"/>
    <w:rsid w:val="0037449A"/>
    <w:rsid w:val="00374718"/>
    <w:rsid w:val="00374CF8"/>
    <w:rsid w:val="00374D3A"/>
    <w:rsid w:val="00374DF9"/>
    <w:rsid w:val="003750D6"/>
    <w:rsid w:val="003754B2"/>
    <w:rsid w:val="0037590F"/>
    <w:rsid w:val="00375964"/>
    <w:rsid w:val="00375DF6"/>
    <w:rsid w:val="003764C3"/>
    <w:rsid w:val="0037685A"/>
    <w:rsid w:val="00376921"/>
    <w:rsid w:val="00376DA8"/>
    <w:rsid w:val="00377154"/>
    <w:rsid w:val="0037734A"/>
    <w:rsid w:val="0037792A"/>
    <w:rsid w:val="00377B00"/>
    <w:rsid w:val="00377DBE"/>
    <w:rsid w:val="00377EC5"/>
    <w:rsid w:val="003800FF"/>
    <w:rsid w:val="003809DD"/>
    <w:rsid w:val="00380B52"/>
    <w:rsid w:val="00380F60"/>
    <w:rsid w:val="0038118F"/>
    <w:rsid w:val="00381210"/>
    <w:rsid w:val="0038122F"/>
    <w:rsid w:val="00381292"/>
    <w:rsid w:val="00381616"/>
    <w:rsid w:val="00381753"/>
    <w:rsid w:val="00381EC5"/>
    <w:rsid w:val="00382041"/>
    <w:rsid w:val="00382296"/>
    <w:rsid w:val="00382350"/>
    <w:rsid w:val="003824A3"/>
    <w:rsid w:val="003824F2"/>
    <w:rsid w:val="003829D3"/>
    <w:rsid w:val="00382CC0"/>
    <w:rsid w:val="00383500"/>
    <w:rsid w:val="00383586"/>
    <w:rsid w:val="00383ADE"/>
    <w:rsid w:val="0038403F"/>
    <w:rsid w:val="003844C5"/>
    <w:rsid w:val="0038460B"/>
    <w:rsid w:val="00384749"/>
    <w:rsid w:val="00384780"/>
    <w:rsid w:val="00385208"/>
    <w:rsid w:val="00385438"/>
    <w:rsid w:val="00385456"/>
    <w:rsid w:val="00385585"/>
    <w:rsid w:val="003857C2"/>
    <w:rsid w:val="0038595C"/>
    <w:rsid w:val="003859C0"/>
    <w:rsid w:val="00385D57"/>
    <w:rsid w:val="00385E1B"/>
    <w:rsid w:val="00385E49"/>
    <w:rsid w:val="003860A9"/>
    <w:rsid w:val="0038655A"/>
    <w:rsid w:val="00386E1D"/>
    <w:rsid w:val="00386EFE"/>
    <w:rsid w:val="0038723B"/>
    <w:rsid w:val="0038762A"/>
    <w:rsid w:val="00387828"/>
    <w:rsid w:val="0038796E"/>
    <w:rsid w:val="00387B41"/>
    <w:rsid w:val="00387E43"/>
    <w:rsid w:val="003904C9"/>
    <w:rsid w:val="0039054F"/>
    <w:rsid w:val="00390704"/>
    <w:rsid w:val="0039070A"/>
    <w:rsid w:val="00390BE2"/>
    <w:rsid w:val="00390CC7"/>
    <w:rsid w:val="00390E04"/>
    <w:rsid w:val="00390E5D"/>
    <w:rsid w:val="00390EA5"/>
    <w:rsid w:val="00391735"/>
    <w:rsid w:val="00391866"/>
    <w:rsid w:val="00391B04"/>
    <w:rsid w:val="00391BF9"/>
    <w:rsid w:val="0039241E"/>
    <w:rsid w:val="00392430"/>
    <w:rsid w:val="0039249B"/>
    <w:rsid w:val="0039255D"/>
    <w:rsid w:val="003926DA"/>
    <w:rsid w:val="0039272B"/>
    <w:rsid w:val="0039275C"/>
    <w:rsid w:val="00392BE7"/>
    <w:rsid w:val="00392D9F"/>
    <w:rsid w:val="00392F4B"/>
    <w:rsid w:val="003930C2"/>
    <w:rsid w:val="00393844"/>
    <w:rsid w:val="00393974"/>
    <w:rsid w:val="003939F6"/>
    <w:rsid w:val="00393CD5"/>
    <w:rsid w:val="003940EA"/>
    <w:rsid w:val="00394116"/>
    <w:rsid w:val="00394210"/>
    <w:rsid w:val="00394302"/>
    <w:rsid w:val="00394332"/>
    <w:rsid w:val="003945C0"/>
    <w:rsid w:val="00394A06"/>
    <w:rsid w:val="00394D8D"/>
    <w:rsid w:val="00395867"/>
    <w:rsid w:val="00395930"/>
    <w:rsid w:val="00395A0D"/>
    <w:rsid w:val="00396851"/>
    <w:rsid w:val="00396B38"/>
    <w:rsid w:val="00396C39"/>
    <w:rsid w:val="00396D51"/>
    <w:rsid w:val="00396FD7"/>
    <w:rsid w:val="003973E6"/>
    <w:rsid w:val="0039742D"/>
    <w:rsid w:val="003974F1"/>
    <w:rsid w:val="0039767D"/>
    <w:rsid w:val="0039774E"/>
    <w:rsid w:val="0039775B"/>
    <w:rsid w:val="0039795C"/>
    <w:rsid w:val="00397DDC"/>
    <w:rsid w:val="00397FEB"/>
    <w:rsid w:val="003A0AF7"/>
    <w:rsid w:val="003A102F"/>
    <w:rsid w:val="003A1270"/>
    <w:rsid w:val="003A1695"/>
    <w:rsid w:val="003A1955"/>
    <w:rsid w:val="003A1961"/>
    <w:rsid w:val="003A1DEA"/>
    <w:rsid w:val="003A1F46"/>
    <w:rsid w:val="003A1F98"/>
    <w:rsid w:val="003A246A"/>
    <w:rsid w:val="003A257E"/>
    <w:rsid w:val="003A27DA"/>
    <w:rsid w:val="003A2B02"/>
    <w:rsid w:val="003A2BA3"/>
    <w:rsid w:val="003A2DD0"/>
    <w:rsid w:val="003A3003"/>
    <w:rsid w:val="003A353D"/>
    <w:rsid w:val="003A35D9"/>
    <w:rsid w:val="003A360A"/>
    <w:rsid w:val="003A366A"/>
    <w:rsid w:val="003A3738"/>
    <w:rsid w:val="003A375E"/>
    <w:rsid w:val="003A387B"/>
    <w:rsid w:val="003A3981"/>
    <w:rsid w:val="003A3A6D"/>
    <w:rsid w:val="003A3A84"/>
    <w:rsid w:val="003A3C77"/>
    <w:rsid w:val="003A3C85"/>
    <w:rsid w:val="003A3ED3"/>
    <w:rsid w:val="003A41E1"/>
    <w:rsid w:val="003A46EF"/>
    <w:rsid w:val="003A470B"/>
    <w:rsid w:val="003A49ED"/>
    <w:rsid w:val="003A4E97"/>
    <w:rsid w:val="003A51D0"/>
    <w:rsid w:val="003A5262"/>
    <w:rsid w:val="003A52F7"/>
    <w:rsid w:val="003A5638"/>
    <w:rsid w:val="003A589E"/>
    <w:rsid w:val="003A5A0A"/>
    <w:rsid w:val="003A6136"/>
    <w:rsid w:val="003A67E1"/>
    <w:rsid w:val="003A682C"/>
    <w:rsid w:val="003A6B20"/>
    <w:rsid w:val="003A6BF6"/>
    <w:rsid w:val="003A7024"/>
    <w:rsid w:val="003A74EC"/>
    <w:rsid w:val="003A766D"/>
    <w:rsid w:val="003A7744"/>
    <w:rsid w:val="003A7834"/>
    <w:rsid w:val="003A7B1B"/>
    <w:rsid w:val="003A7D91"/>
    <w:rsid w:val="003B035C"/>
    <w:rsid w:val="003B0471"/>
    <w:rsid w:val="003B0934"/>
    <w:rsid w:val="003B0961"/>
    <w:rsid w:val="003B0D3F"/>
    <w:rsid w:val="003B0EC5"/>
    <w:rsid w:val="003B0F65"/>
    <w:rsid w:val="003B11A5"/>
    <w:rsid w:val="003B149B"/>
    <w:rsid w:val="003B14C2"/>
    <w:rsid w:val="003B16A9"/>
    <w:rsid w:val="003B1900"/>
    <w:rsid w:val="003B1A2A"/>
    <w:rsid w:val="003B1B9A"/>
    <w:rsid w:val="003B1F4B"/>
    <w:rsid w:val="003B1FEA"/>
    <w:rsid w:val="003B2740"/>
    <w:rsid w:val="003B27AF"/>
    <w:rsid w:val="003B2A0A"/>
    <w:rsid w:val="003B2BD7"/>
    <w:rsid w:val="003B2F65"/>
    <w:rsid w:val="003B3046"/>
    <w:rsid w:val="003B3209"/>
    <w:rsid w:val="003B334E"/>
    <w:rsid w:val="003B3697"/>
    <w:rsid w:val="003B41B0"/>
    <w:rsid w:val="003B49C2"/>
    <w:rsid w:val="003B4EB3"/>
    <w:rsid w:val="003B4F22"/>
    <w:rsid w:val="003B5524"/>
    <w:rsid w:val="003B56C1"/>
    <w:rsid w:val="003B5A65"/>
    <w:rsid w:val="003B5AC5"/>
    <w:rsid w:val="003B5BBC"/>
    <w:rsid w:val="003B62C7"/>
    <w:rsid w:val="003B6434"/>
    <w:rsid w:val="003B6578"/>
    <w:rsid w:val="003B6628"/>
    <w:rsid w:val="003B673F"/>
    <w:rsid w:val="003B681E"/>
    <w:rsid w:val="003B687F"/>
    <w:rsid w:val="003B6BD6"/>
    <w:rsid w:val="003B70FA"/>
    <w:rsid w:val="003B7427"/>
    <w:rsid w:val="003B787D"/>
    <w:rsid w:val="003B7C9F"/>
    <w:rsid w:val="003B7D9C"/>
    <w:rsid w:val="003C01FA"/>
    <w:rsid w:val="003C0470"/>
    <w:rsid w:val="003C055D"/>
    <w:rsid w:val="003C09E3"/>
    <w:rsid w:val="003C0C85"/>
    <w:rsid w:val="003C0CF8"/>
    <w:rsid w:val="003C136F"/>
    <w:rsid w:val="003C1714"/>
    <w:rsid w:val="003C1A66"/>
    <w:rsid w:val="003C1F34"/>
    <w:rsid w:val="003C200E"/>
    <w:rsid w:val="003C2273"/>
    <w:rsid w:val="003C236B"/>
    <w:rsid w:val="003C26A7"/>
    <w:rsid w:val="003C26B0"/>
    <w:rsid w:val="003C27E4"/>
    <w:rsid w:val="003C28E4"/>
    <w:rsid w:val="003C2BEC"/>
    <w:rsid w:val="003C2CC8"/>
    <w:rsid w:val="003C2F39"/>
    <w:rsid w:val="003C2F82"/>
    <w:rsid w:val="003C3201"/>
    <w:rsid w:val="003C32F8"/>
    <w:rsid w:val="003C368B"/>
    <w:rsid w:val="003C3694"/>
    <w:rsid w:val="003C398B"/>
    <w:rsid w:val="003C3BF1"/>
    <w:rsid w:val="003C3F4B"/>
    <w:rsid w:val="003C4022"/>
    <w:rsid w:val="003C40A6"/>
    <w:rsid w:val="003C4163"/>
    <w:rsid w:val="003C4267"/>
    <w:rsid w:val="003C4872"/>
    <w:rsid w:val="003C4A19"/>
    <w:rsid w:val="003C4A33"/>
    <w:rsid w:val="003C4AA4"/>
    <w:rsid w:val="003C4CA9"/>
    <w:rsid w:val="003C580C"/>
    <w:rsid w:val="003C5A20"/>
    <w:rsid w:val="003C6081"/>
    <w:rsid w:val="003C6157"/>
    <w:rsid w:val="003C642F"/>
    <w:rsid w:val="003C656D"/>
    <w:rsid w:val="003C665E"/>
    <w:rsid w:val="003C6757"/>
    <w:rsid w:val="003C6812"/>
    <w:rsid w:val="003C6DB8"/>
    <w:rsid w:val="003C6DBD"/>
    <w:rsid w:val="003C6F6F"/>
    <w:rsid w:val="003C7510"/>
    <w:rsid w:val="003C75AD"/>
    <w:rsid w:val="003C7A0B"/>
    <w:rsid w:val="003D0105"/>
    <w:rsid w:val="003D01FB"/>
    <w:rsid w:val="003D0937"/>
    <w:rsid w:val="003D0CD3"/>
    <w:rsid w:val="003D0D02"/>
    <w:rsid w:val="003D103D"/>
    <w:rsid w:val="003D12E1"/>
    <w:rsid w:val="003D140A"/>
    <w:rsid w:val="003D1554"/>
    <w:rsid w:val="003D2123"/>
    <w:rsid w:val="003D2A41"/>
    <w:rsid w:val="003D2B7F"/>
    <w:rsid w:val="003D2F36"/>
    <w:rsid w:val="003D3A60"/>
    <w:rsid w:val="003D3F3A"/>
    <w:rsid w:val="003D4649"/>
    <w:rsid w:val="003D49D4"/>
    <w:rsid w:val="003D4B6B"/>
    <w:rsid w:val="003D4C10"/>
    <w:rsid w:val="003D4C4F"/>
    <w:rsid w:val="003D4E34"/>
    <w:rsid w:val="003D4E4C"/>
    <w:rsid w:val="003D4FDA"/>
    <w:rsid w:val="003D522A"/>
    <w:rsid w:val="003D56C6"/>
    <w:rsid w:val="003D573C"/>
    <w:rsid w:val="003D5A02"/>
    <w:rsid w:val="003D5F21"/>
    <w:rsid w:val="003D6010"/>
    <w:rsid w:val="003D63F6"/>
    <w:rsid w:val="003D65C3"/>
    <w:rsid w:val="003D6665"/>
    <w:rsid w:val="003D672B"/>
    <w:rsid w:val="003D6E53"/>
    <w:rsid w:val="003D6F50"/>
    <w:rsid w:val="003D6FC8"/>
    <w:rsid w:val="003D7267"/>
    <w:rsid w:val="003D749C"/>
    <w:rsid w:val="003D777E"/>
    <w:rsid w:val="003D7BC7"/>
    <w:rsid w:val="003D7BE3"/>
    <w:rsid w:val="003D7C69"/>
    <w:rsid w:val="003D7E80"/>
    <w:rsid w:val="003E01A7"/>
    <w:rsid w:val="003E02B8"/>
    <w:rsid w:val="003E0446"/>
    <w:rsid w:val="003E0454"/>
    <w:rsid w:val="003E0CC2"/>
    <w:rsid w:val="003E1281"/>
    <w:rsid w:val="003E12DE"/>
    <w:rsid w:val="003E1594"/>
    <w:rsid w:val="003E1784"/>
    <w:rsid w:val="003E1C77"/>
    <w:rsid w:val="003E1F07"/>
    <w:rsid w:val="003E20F9"/>
    <w:rsid w:val="003E2692"/>
    <w:rsid w:val="003E3020"/>
    <w:rsid w:val="003E316F"/>
    <w:rsid w:val="003E3CA3"/>
    <w:rsid w:val="003E4124"/>
    <w:rsid w:val="003E42A2"/>
    <w:rsid w:val="003E4402"/>
    <w:rsid w:val="003E443E"/>
    <w:rsid w:val="003E4961"/>
    <w:rsid w:val="003E4E2B"/>
    <w:rsid w:val="003E527E"/>
    <w:rsid w:val="003E52C8"/>
    <w:rsid w:val="003E56B1"/>
    <w:rsid w:val="003E5A62"/>
    <w:rsid w:val="003E5AC0"/>
    <w:rsid w:val="003E624D"/>
    <w:rsid w:val="003E687E"/>
    <w:rsid w:val="003E6974"/>
    <w:rsid w:val="003E6B28"/>
    <w:rsid w:val="003E6CD7"/>
    <w:rsid w:val="003E704F"/>
    <w:rsid w:val="003E71E6"/>
    <w:rsid w:val="003E7407"/>
    <w:rsid w:val="003E754A"/>
    <w:rsid w:val="003E7684"/>
    <w:rsid w:val="003E78FC"/>
    <w:rsid w:val="003F0173"/>
    <w:rsid w:val="003F0349"/>
    <w:rsid w:val="003F043C"/>
    <w:rsid w:val="003F0514"/>
    <w:rsid w:val="003F0834"/>
    <w:rsid w:val="003F09B9"/>
    <w:rsid w:val="003F0B16"/>
    <w:rsid w:val="003F0C64"/>
    <w:rsid w:val="003F0F14"/>
    <w:rsid w:val="003F1195"/>
    <w:rsid w:val="003F154C"/>
    <w:rsid w:val="003F17B8"/>
    <w:rsid w:val="003F1A14"/>
    <w:rsid w:val="003F1AE9"/>
    <w:rsid w:val="003F1C5D"/>
    <w:rsid w:val="003F1E71"/>
    <w:rsid w:val="003F1F7F"/>
    <w:rsid w:val="003F28C7"/>
    <w:rsid w:val="003F2AFF"/>
    <w:rsid w:val="003F2E2A"/>
    <w:rsid w:val="003F2E39"/>
    <w:rsid w:val="003F2F03"/>
    <w:rsid w:val="003F32A5"/>
    <w:rsid w:val="003F3397"/>
    <w:rsid w:val="003F34CA"/>
    <w:rsid w:val="003F3598"/>
    <w:rsid w:val="003F3839"/>
    <w:rsid w:val="003F38E2"/>
    <w:rsid w:val="003F39CC"/>
    <w:rsid w:val="003F39E2"/>
    <w:rsid w:val="003F3B4F"/>
    <w:rsid w:val="003F3D02"/>
    <w:rsid w:val="003F3D9D"/>
    <w:rsid w:val="003F3DE9"/>
    <w:rsid w:val="003F446F"/>
    <w:rsid w:val="003F4498"/>
    <w:rsid w:val="003F45A6"/>
    <w:rsid w:val="003F4D7E"/>
    <w:rsid w:val="003F4E37"/>
    <w:rsid w:val="003F5015"/>
    <w:rsid w:val="003F568F"/>
    <w:rsid w:val="003F56F8"/>
    <w:rsid w:val="003F578E"/>
    <w:rsid w:val="003F5D7C"/>
    <w:rsid w:val="003F63A7"/>
    <w:rsid w:val="003F67D0"/>
    <w:rsid w:val="003F6ADE"/>
    <w:rsid w:val="003F6AEC"/>
    <w:rsid w:val="003F6C95"/>
    <w:rsid w:val="003F732A"/>
    <w:rsid w:val="003F7AE4"/>
    <w:rsid w:val="003F7DCF"/>
    <w:rsid w:val="003F7ED4"/>
    <w:rsid w:val="003F7FE8"/>
    <w:rsid w:val="00400720"/>
    <w:rsid w:val="00400D9C"/>
    <w:rsid w:val="00400E8F"/>
    <w:rsid w:val="00401164"/>
    <w:rsid w:val="004012BF"/>
    <w:rsid w:val="0040146C"/>
    <w:rsid w:val="0040188C"/>
    <w:rsid w:val="004019AD"/>
    <w:rsid w:val="00401A4C"/>
    <w:rsid w:val="00401E0A"/>
    <w:rsid w:val="004022D3"/>
    <w:rsid w:val="00402401"/>
    <w:rsid w:val="004024DA"/>
    <w:rsid w:val="00402527"/>
    <w:rsid w:val="00402DB9"/>
    <w:rsid w:val="0040306E"/>
    <w:rsid w:val="00403870"/>
    <w:rsid w:val="00403B1D"/>
    <w:rsid w:val="00403D4F"/>
    <w:rsid w:val="004045C7"/>
    <w:rsid w:val="00404716"/>
    <w:rsid w:val="00404794"/>
    <w:rsid w:val="00404C26"/>
    <w:rsid w:val="00404CB6"/>
    <w:rsid w:val="00404D65"/>
    <w:rsid w:val="004054EF"/>
    <w:rsid w:val="004059C7"/>
    <w:rsid w:val="00405A12"/>
    <w:rsid w:val="00405BE7"/>
    <w:rsid w:val="00405D62"/>
    <w:rsid w:val="00405E62"/>
    <w:rsid w:val="0040647C"/>
    <w:rsid w:val="004066B6"/>
    <w:rsid w:val="00406AC3"/>
    <w:rsid w:val="00406C07"/>
    <w:rsid w:val="00406C86"/>
    <w:rsid w:val="00406DFF"/>
    <w:rsid w:val="00407001"/>
    <w:rsid w:val="00407210"/>
    <w:rsid w:val="004074FF"/>
    <w:rsid w:val="00407BAC"/>
    <w:rsid w:val="00407E18"/>
    <w:rsid w:val="00410116"/>
    <w:rsid w:val="004107F0"/>
    <w:rsid w:val="004108E7"/>
    <w:rsid w:val="00410B7A"/>
    <w:rsid w:val="00410C0F"/>
    <w:rsid w:val="00410F36"/>
    <w:rsid w:val="004115CB"/>
    <w:rsid w:val="00411BBB"/>
    <w:rsid w:val="00411F93"/>
    <w:rsid w:val="00412230"/>
    <w:rsid w:val="004125AC"/>
    <w:rsid w:val="00412A75"/>
    <w:rsid w:val="00412C39"/>
    <w:rsid w:val="00412E3E"/>
    <w:rsid w:val="004130EA"/>
    <w:rsid w:val="00413112"/>
    <w:rsid w:val="004136F8"/>
    <w:rsid w:val="00413B40"/>
    <w:rsid w:val="00413E82"/>
    <w:rsid w:val="00413FBD"/>
    <w:rsid w:val="00414017"/>
    <w:rsid w:val="004142E7"/>
    <w:rsid w:val="0041485F"/>
    <w:rsid w:val="00414D69"/>
    <w:rsid w:val="00414E0D"/>
    <w:rsid w:val="00414E69"/>
    <w:rsid w:val="00414F29"/>
    <w:rsid w:val="00415005"/>
    <w:rsid w:val="004151F0"/>
    <w:rsid w:val="004151FF"/>
    <w:rsid w:val="00415374"/>
    <w:rsid w:val="004155D6"/>
    <w:rsid w:val="004156B0"/>
    <w:rsid w:val="0041580C"/>
    <w:rsid w:val="00415A0D"/>
    <w:rsid w:val="00415A83"/>
    <w:rsid w:val="00415C74"/>
    <w:rsid w:val="00415CB3"/>
    <w:rsid w:val="004162E9"/>
    <w:rsid w:val="004164A8"/>
    <w:rsid w:val="00416867"/>
    <w:rsid w:val="00416B90"/>
    <w:rsid w:val="00416C57"/>
    <w:rsid w:val="00416F84"/>
    <w:rsid w:val="0041721B"/>
    <w:rsid w:val="0041727D"/>
    <w:rsid w:val="00417394"/>
    <w:rsid w:val="00417A72"/>
    <w:rsid w:val="00417BB1"/>
    <w:rsid w:val="00417CD3"/>
    <w:rsid w:val="00417F98"/>
    <w:rsid w:val="00420025"/>
    <w:rsid w:val="0042004C"/>
    <w:rsid w:val="004200C6"/>
    <w:rsid w:val="00420224"/>
    <w:rsid w:val="00420384"/>
    <w:rsid w:val="00420502"/>
    <w:rsid w:val="00420505"/>
    <w:rsid w:val="00420B02"/>
    <w:rsid w:val="00420DD6"/>
    <w:rsid w:val="004210D7"/>
    <w:rsid w:val="00421212"/>
    <w:rsid w:val="00421281"/>
    <w:rsid w:val="0042133E"/>
    <w:rsid w:val="00421635"/>
    <w:rsid w:val="00421765"/>
    <w:rsid w:val="00421954"/>
    <w:rsid w:val="00422176"/>
    <w:rsid w:val="004221B8"/>
    <w:rsid w:val="00422663"/>
    <w:rsid w:val="00422F68"/>
    <w:rsid w:val="004232ED"/>
    <w:rsid w:val="00423858"/>
    <w:rsid w:val="004239FB"/>
    <w:rsid w:val="00423A83"/>
    <w:rsid w:val="00423EDC"/>
    <w:rsid w:val="00423FDC"/>
    <w:rsid w:val="004243E2"/>
    <w:rsid w:val="0042482E"/>
    <w:rsid w:val="004248D3"/>
    <w:rsid w:val="00424AD1"/>
    <w:rsid w:val="00424C5C"/>
    <w:rsid w:val="00424CEF"/>
    <w:rsid w:val="0042506E"/>
    <w:rsid w:val="00425255"/>
    <w:rsid w:val="00425515"/>
    <w:rsid w:val="00425943"/>
    <w:rsid w:val="00425ADD"/>
    <w:rsid w:val="00425CE7"/>
    <w:rsid w:val="00425D7D"/>
    <w:rsid w:val="00426083"/>
    <w:rsid w:val="004262C4"/>
    <w:rsid w:val="00426F1F"/>
    <w:rsid w:val="004270E1"/>
    <w:rsid w:val="00427117"/>
    <w:rsid w:val="00427198"/>
    <w:rsid w:val="004272F4"/>
    <w:rsid w:val="00427678"/>
    <w:rsid w:val="00427680"/>
    <w:rsid w:val="0042776C"/>
    <w:rsid w:val="00427777"/>
    <w:rsid w:val="0042781C"/>
    <w:rsid w:val="00427B59"/>
    <w:rsid w:val="00427FC8"/>
    <w:rsid w:val="00430170"/>
    <w:rsid w:val="0043037C"/>
    <w:rsid w:val="00430637"/>
    <w:rsid w:val="00430B1A"/>
    <w:rsid w:val="00430C8F"/>
    <w:rsid w:val="00431481"/>
    <w:rsid w:val="004315D0"/>
    <w:rsid w:val="004317FE"/>
    <w:rsid w:val="00431AE6"/>
    <w:rsid w:val="00431E65"/>
    <w:rsid w:val="0043221F"/>
    <w:rsid w:val="0043229C"/>
    <w:rsid w:val="004322B7"/>
    <w:rsid w:val="00432E4A"/>
    <w:rsid w:val="00432ED7"/>
    <w:rsid w:val="00432F6D"/>
    <w:rsid w:val="004330C2"/>
    <w:rsid w:val="0043406A"/>
    <w:rsid w:val="004340E4"/>
    <w:rsid w:val="004340F6"/>
    <w:rsid w:val="00434324"/>
    <w:rsid w:val="004345C3"/>
    <w:rsid w:val="00434BAE"/>
    <w:rsid w:val="00434D11"/>
    <w:rsid w:val="00434D1A"/>
    <w:rsid w:val="00434F77"/>
    <w:rsid w:val="004351EE"/>
    <w:rsid w:val="0043533D"/>
    <w:rsid w:val="00435E50"/>
    <w:rsid w:val="00436011"/>
    <w:rsid w:val="00436118"/>
    <w:rsid w:val="004362D0"/>
    <w:rsid w:val="004363A5"/>
    <w:rsid w:val="004363CB"/>
    <w:rsid w:val="0043657F"/>
    <w:rsid w:val="00436B5C"/>
    <w:rsid w:val="00436CBF"/>
    <w:rsid w:val="00436FA4"/>
    <w:rsid w:val="0043704B"/>
    <w:rsid w:val="0043707E"/>
    <w:rsid w:val="00437255"/>
    <w:rsid w:val="0043729E"/>
    <w:rsid w:val="00437A1F"/>
    <w:rsid w:val="00437E31"/>
    <w:rsid w:val="00437FE5"/>
    <w:rsid w:val="0044002B"/>
    <w:rsid w:val="004400F0"/>
    <w:rsid w:val="00440214"/>
    <w:rsid w:val="004402A4"/>
    <w:rsid w:val="0044055C"/>
    <w:rsid w:val="004407C5"/>
    <w:rsid w:val="004414CB"/>
    <w:rsid w:val="004415BA"/>
    <w:rsid w:val="00441738"/>
    <w:rsid w:val="00441764"/>
    <w:rsid w:val="00441DC5"/>
    <w:rsid w:val="00442175"/>
    <w:rsid w:val="004423D1"/>
    <w:rsid w:val="004424A7"/>
    <w:rsid w:val="004428AB"/>
    <w:rsid w:val="00442BB1"/>
    <w:rsid w:val="00442E5B"/>
    <w:rsid w:val="00442EBC"/>
    <w:rsid w:val="00442F95"/>
    <w:rsid w:val="00443517"/>
    <w:rsid w:val="00443624"/>
    <w:rsid w:val="00443B66"/>
    <w:rsid w:val="004441CB"/>
    <w:rsid w:val="0044428E"/>
    <w:rsid w:val="004442B8"/>
    <w:rsid w:val="00444663"/>
    <w:rsid w:val="004446B9"/>
    <w:rsid w:val="004448B1"/>
    <w:rsid w:val="0044505D"/>
    <w:rsid w:val="004454C9"/>
    <w:rsid w:val="004459F0"/>
    <w:rsid w:val="00445A60"/>
    <w:rsid w:val="00446053"/>
    <w:rsid w:val="004460FF"/>
    <w:rsid w:val="00446154"/>
    <w:rsid w:val="00446425"/>
    <w:rsid w:val="00446428"/>
    <w:rsid w:val="0044651A"/>
    <w:rsid w:val="00446784"/>
    <w:rsid w:val="00446BBF"/>
    <w:rsid w:val="00446BD1"/>
    <w:rsid w:val="00446C29"/>
    <w:rsid w:val="00446F14"/>
    <w:rsid w:val="00446FF5"/>
    <w:rsid w:val="00447197"/>
    <w:rsid w:val="004474D3"/>
    <w:rsid w:val="00447681"/>
    <w:rsid w:val="004476A0"/>
    <w:rsid w:val="0044775E"/>
    <w:rsid w:val="00447A55"/>
    <w:rsid w:val="00447CBD"/>
    <w:rsid w:val="00447F47"/>
    <w:rsid w:val="00450C8B"/>
    <w:rsid w:val="00450CF4"/>
    <w:rsid w:val="00451A92"/>
    <w:rsid w:val="00451F96"/>
    <w:rsid w:val="00452017"/>
    <w:rsid w:val="00452AE9"/>
    <w:rsid w:val="00452FA2"/>
    <w:rsid w:val="0045338F"/>
    <w:rsid w:val="00453A4E"/>
    <w:rsid w:val="00454193"/>
    <w:rsid w:val="0045450B"/>
    <w:rsid w:val="00454A34"/>
    <w:rsid w:val="00454B9C"/>
    <w:rsid w:val="00454E0C"/>
    <w:rsid w:val="00454E80"/>
    <w:rsid w:val="004550B1"/>
    <w:rsid w:val="00455246"/>
    <w:rsid w:val="004552F1"/>
    <w:rsid w:val="00455574"/>
    <w:rsid w:val="00455D7A"/>
    <w:rsid w:val="0045605E"/>
    <w:rsid w:val="0045644A"/>
    <w:rsid w:val="00456CC3"/>
    <w:rsid w:val="00456CEA"/>
    <w:rsid w:val="00456F6D"/>
    <w:rsid w:val="00457033"/>
    <w:rsid w:val="00457331"/>
    <w:rsid w:val="00457676"/>
    <w:rsid w:val="00457680"/>
    <w:rsid w:val="004576AB"/>
    <w:rsid w:val="00457D52"/>
    <w:rsid w:val="00457F5F"/>
    <w:rsid w:val="0046011A"/>
    <w:rsid w:val="00460306"/>
    <w:rsid w:val="004603CF"/>
    <w:rsid w:val="0046069A"/>
    <w:rsid w:val="00460B2A"/>
    <w:rsid w:val="00460C23"/>
    <w:rsid w:val="00460C2E"/>
    <w:rsid w:val="00460D3D"/>
    <w:rsid w:val="00460FE2"/>
    <w:rsid w:val="0046105D"/>
    <w:rsid w:val="004610EF"/>
    <w:rsid w:val="0046133F"/>
    <w:rsid w:val="004614AD"/>
    <w:rsid w:val="004615AE"/>
    <w:rsid w:val="004617B3"/>
    <w:rsid w:val="004618AB"/>
    <w:rsid w:val="00461A3E"/>
    <w:rsid w:val="00462001"/>
    <w:rsid w:val="00462408"/>
    <w:rsid w:val="004625E7"/>
    <w:rsid w:val="004626E2"/>
    <w:rsid w:val="00462761"/>
    <w:rsid w:val="004627F4"/>
    <w:rsid w:val="00462A28"/>
    <w:rsid w:val="00462C1D"/>
    <w:rsid w:val="00462DC3"/>
    <w:rsid w:val="00462DDF"/>
    <w:rsid w:val="004632A5"/>
    <w:rsid w:val="004633D6"/>
    <w:rsid w:val="0046364F"/>
    <w:rsid w:val="004637AA"/>
    <w:rsid w:val="004637AF"/>
    <w:rsid w:val="00463930"/>
    <w:rsid w:val="00463F57"/>
    <w:rsid w:val="004641E1"/>
    <w:rsid w:val="00464A3F"/>
    <w:rsid w:val="00464B3C"/>
    <w:rsid w:val="00465A10"/>
    <w:rsid w:val="00465E22"/>
    <w:rsid w:val="004661EA"/>
    <w:rsid w:val="0046631A"/>
    <w:rsid w:val="00466494"/>
    <w:rsid w:val="00466573"/>
    <w:rsid w:val="004677EC"/>
    <w:rsid w:val="004700B0"/>
    <w:rsid w:val="00470259"/>
    <w:rsid w:val="00470467"/>
    <w:rsid w:val="004705CE"/>
    <w:rsid w:val="00470683"/>
    <w:rsid w:val="0047093C"/>
    <w:rsid w:val="0047099E"/>
    <w:rsid w:val="00471044"/>
    <w:rsid w:val="00471092"/>
    <w:rsid w:val="004713AB"/>
    <w:rsid w:val="0047141B"/>
    <w:rsid w:val="0047155A"/>
    <w:rsid w:val="0047161B"/>
    <w:rsid w:val="00471665"/>
    <w:rsid w:val="00471922"/>
    <w:rsid w:val="00471B85"/>
    <w:rsid w:val="00471C16"/>
    <w:rsid w:val="00472099"/>
    <w:rsid w:val="004725A8"/>
    <w:rsid w:val="0047264F"/>
    <w:rsid w:val="00472AD5"/>
    <w:rsid w:val="0047309B"/>
    <w:rsid w:val="00473126"/>
    <w:rsid w:val="00473627"/>
    <w:rsid w:val="00473939"/>
    <w:rsid w:val="00473AF2"/>
    <w:rsid w:val="00473D7F"/>
    <w:rsid w:val="00474027"/>
    <w:rsid w:val="004741E8"/>
    <w:rsid w:val="004743DF"/>
    <w:rsid w:val="00474762"/>
    <w:rsid w:val="004749B1"/>
    <w:rsid w:val="00474C78"/>
    <w:rsid w:val="00474CA3"/>
    <w:rsid w:val="00474CDE"/>
    <w:rsid w:val="004750BF"/>
    <w:rsid w:val="004753ED"/>
    <w:rsid w:val="004757A4"/>
    <w:rsid w:val="00475BA4"/>
    <w:rsid w:val="00475EAA"/>
    <w:rsid w:val="00475F97"/>
    <w:rsid w:val="00476421"/>
    <w:rsid w:val="00476571"/>
    <w:rsid w:val="0047690D"/>
    <w:rsid w:val="004778BC"/>
    <w:rsid w:val="004779E1"/>
    <w:rsid w:val="00477A31"/>
    <w:rsid w:val="00477E11"/>
    <w:rsid w:val="00477F42"/>
    <w:rsid w:val="0048039E"/>
    <w:rsid w:val="0048144E"/>
    <w:rsid w:val="00481814"/>
    <w:rsid w:val="00481F84"/>
    <w:rsid w:val="0048201F"/>
    <w:rsid w:val="0048240B"/>
    <w:rsid w:val="00482825"/>
    <w:rsid w:val="00482A53"/>
    <w:rsid w:val="004831B6"/>
    <w:rsid w:val="0048321F"/>
    <w:rsid w:val="004834C7"/>
    <w:rsid w:val="0048363D"/>
    <w:rsid w:val="00483724"/>
    <w:rsid w:val="00483971"/>
    <w:rsid w:val="00483C1C"/>
    <w:rsid w:val="00483FDB"/>
    <w:rsid w:val="0048402C"/>
    <w:rsid w:val="0048406F"/>
    <w:rsid w:val="00484537"/>
    <w:rsid w:val="004846CF"/>
    <w:rsid w:val="00484803"/>
    <w:rsid w:val="00484CEE"/>
    <w:rsid w:val="00484F12"/>
    <w:rsid w:val="00485265"/>
    <w:rsid w:val="004859F1"/>
    <w:rsid w:val="00485C10"/>
    <w:rsid w:val="00485C5D"/>
    <w:rsid w:val="00485C67"/>
    <w:rsid w:val="00486088"/>
    <w:rsid w:val="0048629D"/>
    <w:rsid w:val="004864E7"/>
    <w:rsid w:val="00486666"/>
    <w:rsid w:val="004866F2"/>
    <w:rsid w:val="00486D76"/>
    <w:rsid w:val="00486F45"/>
    <w:rsid w:val="00487140"/>
    <w:rsid w:val="00487376"/>
    <w:rsid w:val="0048744F"/>
    <w:rsid w:val="004875FB"/>
    <w:rsid w:val="0048769A"/>
    <w:rsid w:val="00487C39"/>
    <w:rsid w:val="00490189"/>
    <w:rsid w:val="00490273"/>
    <w:rsid w:val="0049055D"/>
    <w:rsid w:val="00490EC0"/>
    <w:rsid w:val="004914E0"/>
    <w:rsid w:val="004916CC"/>
    <w:rsid w:val="00491970"/>
    <w:rsid w:val="00491A3C"/>
    <w:rsid w:val="00491B94"/>
    <w:rsid w:val="00491C30"/>
    <w:rsid w:val="00491F0A"/>
    <w:rsid w:val="0049211A"/>
    <w:rsid w:val="00492352"/>
    <w:rsid w:val="0049253A"/>
    <w:rsid w:val="00492928"/>
    <w:rsid w:val="00492EC1"/>
    <w:rsid w:val="00493406"/>
    <w:rsid w:val="00493662"/>
    <w:rsid w:val="004938C8"/>
    <w:rsid w:val="00493A18"/>
    <w:rsid w:val="00493C03"/>
    <w:rsid w:val="00494142"/>
    <w:rsid w:val="00494414"/>
    <w:rsid w:val="00494574"/>
    <w:rsid w:val="004945C9"/>
    <w:rsid w:val="004948D0"/>
    <w:rsid w:val="00494B08"/>
    <w:rsid w:val="00494B2F"/>
    <w:rsid w:val="00494B54"/>
    <w:rsid w:val="00494BD1"/>
    <w:rsid w:val="00494C58"/>
    <w:rsid w:val="00494D91"/>
    <w:rsid w:val="00494F47"/>
    <w:rsid w:val="004950CF"/>
    <w:rsid w:val="004951DB"/>
    <w:rsid w:val="004953A6"/>
    <w:rsid w:val="0049549C"/>
    <w:rsid w:val="00495655"/>
    <w:rsid w:val="0049566C"/>
    <w:rsid w:val="004958BF"/>
    <w:rsid w:val="00495A62"/>
    <w:rsid w:val="00496CCF"/>
    <w:rsid w:val="00496F50"/>
    <w:rsid w:val="00496F53"/>
    <w:rsid w:val="004972F0"/>
    <w:rsid w:val="0049734B"/>
    <w:rsid w:val="004975F2"/>
    <w:rsid w:val="00497955"/>
    <w:rsid w:val="00497973"/>
    <w:rsid w:val="00497D39"/>
    <w:rsid w:val="004A010D"/>
    <w:rsid w:val="004A01EB"/>
    <w:rsid w:val="004A0214"/>
    <w:rsid w:val="004A02FA"/>
    <w:rsid w:val="004A0AB6"/>
    <w:rsid w:val="004A1276"/>
    <w:rsid w:val="004A1638"/>
    <w:rsid w:val="004A1715"/>
    <w:rsid w:val="004A1A94"/>
    <w:rsid w:val="004A1B5D"/>
    <w:rsid w:val="004A1E29"/>
    <w:rsid w:val="004A1FFE"/>
    <w:rsid w:val="004A2272"/>
    <w:rsid w:val="004A2588"/>
    <w:rsid w:val="004A259D"/>
    <w:rsid w:val="004A2731"/>
    <w:rsid w:val="004A2854"/>
    <w:rsid w:val="004A2DF3"/>
    <w:rsid w:val="004A2F89"/>
    <w:rsid w:val="004A31AA"/>
    <w:rsid w:val="004A37E9"/>
    <w:rsid w:val="004A37F9"/>
    <w:rsid w:val="004A3815"/>
    <w:rsid w:val="004A3DF7"/>
    <w:rsid w:val="004A419E"/>
    <w:rsid w:val="004A4516"/>
    <w:rsid w:val="004A4595"/>
    <w:rsid w:val="004A4625"/>
    <w:rsid w:val="004A4AB1"/>
    <w:rsid w:val="004A4BBD"/>
    <w:rsid w:val="004A4DBA"/>
    <w:rsid w:val="004A4F36"/>
    <w:rsid w:val="004A513C"/>
    <w:rsid w:val="004A5234"/>
    <w:rsid w:val="004A5A6B"/>
    <w:rsid w:val="004A5CE0"/>
    <w:rsid w:val="004A61C4"/>
    <w:rsid w:val="004A6464"/>
    <w:rsid w:val="004A6541"/>
    <w:rsid w:val="004A6879"/>
    <w:rsid w:val="004A68AD"/>
    <w:rsid w:val="004A68AE"/>
    <w:rsid w:val="004A7188"/>
    <w:rsid w:val="004A7437"/>
    <w:rsid w:val="004A7511"/>
    <w:rsid w:val="004A7DC4"/>
    <w:rsid w:val="004A7FBF"/>
    <w:rsid w:val="004A7FC7"/>
    <w:rsid w:val="004B0278"/>
    <w:rsid w:val="004B0758"/>
    <w:rsid w:val="004B09FB"/>
    <w:rsid w:val="004B0A82"/>
    <w:rsid w:val="004B0C90"/>
    <w:rsid w:val="004B0CBC"/>
    <w:rsid w:val="004B0D5D"/>
    <w:rsid w:val="004B0E75"/>
    <w:rsid w:val="004B0EC9"/>
    <w:rsid w:val="004B1010"/>
    <w:rsid w:val="004B11F7"/>
    <w:rsid w:val="004B1600"/>
    <w:rsid w:val="004B16AF"/>
    <w:rsid w:val="004B196D"/>
    <w:rsid w:val="004B1EBC"/>
    <w:rsid w:val="004B23A1"/>
    <w:rsid w:val="004B23B6"/>
    <w:rsid w:val="004B2491"/>
    <w:rsid w:val="004B2677"/>
    <w:rsid w:val="004B281B"/>
    <w:rsid w:val="004B294E"/>
    <w:rsid w:val="004B2E0A"/>
    <w:rsid w:val="004B3233"/>
    <w:rsid w:val="004B3A9A"/>
    <w:rsid w:val="004B3E38"/>
    <w:rsid w:val="004B3F0C"/>
    <w:rsid w:val="004B4667"/>
    <w:rsid w:val="004B469E"/>
    <w:rsid w:val="004B48C5"/>
    <w:rsid w:val="004B48F3"/>
    <w:rsid w:val="004B4B5F"/>
    <w:rsid w:val="004B4C69"/>
    <w:rsid w:val="004B4DF5"/>
    <w:rsid w:val="004B514F"/>
    <w:rsid w:val="004B51CF"/>
    <w:rsid w:val="004B527B"/>
    <w:rsid w:val="004B5409"/>
    <w:rsid w:val="004B57B6"/>
    <w:rsid w:val="004B57B9"/>
    <w:rsid w:val="004B59C1"/>
    <w:rsid w:val="004B5B7A"/>
    <w:rsid w:val="004B5BF6"/>
    <w:rsid w:val="004B5FCD"/>
    <w:rsid w:val="004B65A3"/>
    <w:rsid w:val="004B6F7B"/>
    <w:rsid w:val="004B7502"/>
    <w:rsid w:val="004B753F"/>
    <w:rsid w:val="004B7600"/>
    <w:rsid w:val="004B79A9"/>
    <w:rsid w:val="004B7AD6"/>
    <w:rsid w:val="004C0224"/>
    <w:rsid w:val="004C046A"/>
    <w:rsid w:val="004C0B2E"/>
    <w:rsid w:val="004C0BFE"/>
    <w:rsid w:val="004C109E"/>
    <w:rsid w:val="004C10DC"/>
    <w:rsid w:val="004C1152"/>
    <w:rsid w:val="004C11E9"/>
    <w:rsid w:val="004C135E"/>
    <w:rsid w:val="004C163E"/>
    <w:rsid w:val="004C184E"/>
    <w:rsid w:val="004C1979"/>
    <w:rsid w:val="004C1E7A"/>
    <w:rsid w:val="004C1EF2"/>
    <w:rsid w:val="004C201D"/>
    <w:rsid w:val="004C2720"/>
    <w:rsid w:val="004C29F0"/>
    <w:rsid w:val="004C2A03"/>
    <w:rsid w:val="004C3034"/>
    <w:rsid w:val="004C3103"/>
    <w:rsid w:val="004C31AF"/>
    <w:rsid w:val="004C3D13"/>
    <w:rsid w:val="004C3ED9"/>
    <w:rsid w:val="004C3EE9"/>
    <w:rsid w:val="004C4145"/>
    <w:rsid w:val="004C4714"/>
    <w:rsid w:val="004C4824"/>
    <w:rsid w:val="004C4932"/>
    <w:rsid w:val="004C4C29"/>
    <w:rsid w:val="004C4C6D"/>
    <w:rsid w:val="004C5017"/>
    <w:rsid w:val="004C50D3"/>
    <w:rsid w:val="004C5302"/>
    <w:rsid w:val="004C5325"/>
    <w:rsid w:val="004C548D"/>
    <w:rsid w:val="004C5955"/>
    <w:rsid w:val="004C5C3E"/>
    <w:rsid w:val="004C5DD1"/>
    <w:rsid w:val="004C5F5F"/>
    <w:rsid w:val="004C5FEE"/>
    <w:rsid w:val="004C6185"/>
    <w:rsid w:val="004C67EB"/>
    <w:rsid w:val="004C6A68"/>
    <w:rsid w:val="004C6BA5"/>
    <w:rsid w:val="004C6BFD"/>
    <w:rsid w:val="004C6DE1"/>
    <w:rsid w:val="004C73E4"/>
    <w:rsid w:val="004C75D5"/>
    <w:rsid w:val="004C76A4"/>
    <w:rsid w:val="004C7B8C"/>
    <w:rsid w:val="004C7D25"/>
    <w:rsid w:val="004C7DC3"/>
    <w:rsid w:val="004C7E11"/>
    <w:rsid w:val="004C7F9B"/>
    <w:rsid w:val="004D0209"/>
    <w:rsid w:val="004D0362"/>
    <w:rsid w:val="004D03C7"/>
    <w:rsid w:val="004D04EB"/>
    <w:rsid w:val="004D04F2"/>
    <w:rsid w:val="004D0505"/>
    <w:rsid w:val="004D078F"/>
    <w:rsid w:val="004D0897"/>
    <w:rsid w:val="004D0A68"/>
    <w:rsid w:val="004D0C35"/>
    <w:rsid w:val="004D0CC6"/>
    <w:rsid w:val="004D0D3C"/>
    <w:rsid w:val="004D12EF"/>
    <w:rsid w:val="004D180D"/>
    <w:rsid w:val="004D1C62"/>
    <w:rsid w:val="004D1E36"/>
    <w:rsid w:val="004D1F42"/>
    <w:rsid w:val="004D218B"/>
    <w:rsid w:val="004D2200"/>
    <w:rsid w:val="004D2277"/>
    <w:rsid w:val="004D23E3"/>
    <w:rsid w:val="004D2477"/>
    <w:rsid w:val="004D24A6"/>
    <w:rsid w:val="004D2C64"/>
    <w:rsid w:val="004D312F"/>
    <w:rsid w:val="004D34F1"/>
    <w:rsid w:val="004D382D"/>
    <w:rsid w:val="004D390C"/>
    <w:rsid w:val="004D3B6D"/>
    <w:rsid w:val="004D3C08"/>
    <w:rsid w:val="004D4405"/>
    <w:rsid w:val="004D4685"/>
    <w:rsid w:val="004D46D4"/>
    <w:rsid w:val="004D4714"/>
    <w:rsid w:val="004D4944"/>
    <w:rsid w:val="004D4E95"/>
    <w:rsid w:val="004D54D0"/>
    <w:rsid w:val="004D56C8"/>
    <w:rsid w:val="004D5A8C"/>
    <w:rsid w:val="004D5BBA"/>
    <w:rsid w:val="004D5FC8"/>
    <w:rsid w:val="004D6221"/>
    <w:rsid w:val="004D628B"/>
    <w:rsid w:val="004D6503"/>
    <w:rsid w:val="004D673F"/>
    <w:rsid w:val="004D68C8"/>
    <w:rsid w:val="004D6A95"/>
    <w:rsid w:val="004D6B2E"/>
    <w:rsid w:val="004D6FBA"/>
    <w:rsid w:val="004D72C2"/>
    <w:rsid w:val="004D7509"/>
    <w:rsid w:val="004D75CC"/>
    <w:rsid w:val="004D7697"/>
    <w:rsid w:val="004D7761"/>
    <w:rsid w:val="004D7E34"/>
    <w:rsid w:val="004D7E76"/>
    <w:rsid w:val="004E0148"/>
    <w:rsid w:val="004E07A6"/>
    <w:rsid w:val="004E07BB"/>
    <w:rsid w:val="004E0991"/>
    <w:rsid w:val="004E0C03"/>
    <w:rsid w:val="004E0CC9"/>
    <w:rsid w:val="004E0D5F"/>
    <w:rsid w:val="004E0F31"/>
    <w:rsid w:val="004E1282"/>
    <w:rsid w:val="004E1354"/>
    <w:rsid w:val="004E1520"/>
    <w:rsid w:val="004E1613"/>
    <w:rsid w:val="004E1620"/>
    <w:rsid w:val="004E1AB7"/>
    <w:rsid w:val="004E1CD4"/>
    <w:rsid w:val="004E1D31"/>
    <w:rsid w:val="004E210C"/>
    <w:rsid w:val="004E23A9"/>
    <w:rsid w:val="004E25A4"/>
    <w:rsid w:val="004E27D0"/>
    <w:rsid w:val="004E2832"/>
    <w:rsid w:val="004E2AED"/>
    <w:rsid w:val="004E2BF6"/>
    <w:rsid w:val="004E2C4D"/>
    <w:rsid w:val="004E2ED3"/>
    <w:rsid w:val="004E2FA9"/>
    <w:rsid w:val="004E36CA"/>
    <w:rsid w:val="004E3831"/>
    <w:rsid w:val="004E38FE"/>
    <w:rsid w:val="004E39D9"/>
    <w:rsid w:val="004E3E62"/>
    <w:rsid w:val="004E4010"/>
    <w:rsid w:val="004E40A9"/>
    <w:rsid w:val="004E4160"/>
    <w:rsid w:val="004E4698"/>
    <w:rsid w:val="004E46F4"/>
    <w:rsid w:val="004E481D"/>
    <w:rsid w:val="004E48B7"/>
    <w:rsid w:val="004E49B5"/>
    <w:rsid w:val="004E4B21"/>
    <w:rsid w:val="004E52DD"/>
    <w:rsid w:val="004E541F"/>
    <w:rsid w:val="004E5466"/>
    <w:rsid w:val="004E5472"/>
    <w:rsid w:val="004E5963"/>
    <w:rsid w:val="004E5B0D"/>
    <w:rsid w:val="004E5C50"/>
    <w:rsid w:val="004E5DDC"/>
    <w:rsid w:val="004E5E7F"/>
    <w:rsid w:val="004E6603"/>
    <w:rsid w:val="004E66F9"/>
    <w:rsid w:val="004E6973"/>
    <w:rsid w:val="004E6CB4"/>
    <w:rsid w:val="004E74E2"/>
    <w:rsid w:val="004E7708"/>
    <w:rsid w:val="004E771F"/>
    <w:rsid w:val="004E788A"/>
    <w:rsid w:val="004E7945"/>
    <w:rsid w:val="004F0658"/>
    <w:rsid w:val="004F082A"/>
    <w:rsid w:val="004F0B77"/>
    <w:rsid w:val="004F0FA3"/>
    <w:rsid w:val="004F10A3"/>
    <w:rsid w:val="004F1670"/>
    <w:rsid w:val="004F18B4"/>
    <w:rsid w:val="004F1A5B"/>
    <w:rsid w:val="004F1DB3"/>
    <w:rsid w:val="004F203D"/>
    <w:rsid w:val="004F2DA1"/>
    <w:rsid w:val="004F347D"/>
    <w:rsid w:val="004F34BA"/>
    <w:rsid w:val="004F375D"/>
    <w:rsid w:val="004F380D"/>
    <w:rsid w:val="004F3B44"/>
    <w:rsid w:val="004F3BD0"/>
    <w:rsid w:val="004F3F0B"/>
    <w:rsid w:val="004F3F64"/>
    <w:rsid w:val="004F3F75"/>
    <w:rsid w:val="004F403F"/>
    <w:rsid w:val="004F44BD"/>
    <w:rsid w:val="004F467B"/>
    <w:rsid w:val="004F5307"/>
    <w:rsid w:val="004F617B"/>
    <w:rsid w:val="004F6213"/>
    <w:rsid w:val="004F651E"/>
    <w:rsid w:val="004F654D"/>
    <w:rsid w:val="004F65EE"/>
    <w:rsid w:val="004F683D"/>
    <w:rsid w:val="004F6863"/>
    <w:rsid w:val="004F6A32"/>
    <w:rsid w:val="004F6A86"/>
    <w:rsid w:val="004F7192"/>
    <w:rsid w:val="004F72B9"/>
    <w:rsid w:val="004F74C4"/>
    <w:rsid w:val="004F75CC"/>
    <w:rsid w:val="004F7653"/>
    <w:rsid w:val="004F76E2"/>
    <w:rsid w:val="004F7825"/>
    <w:rsid w:val="004F7B89"/>
    <w:rsid w:val="004F7D6F"/>
    <w:rsid w:val="004F7E57"/>
    <w:rsid w:val="004F7F7D"/>
    <w:rsid w:val="005000B3"/>
    <w:rsid w:val="00500375"/>
    <w:rsid w:val="00500D91"/>
    <w:rsid w:val="00500E8C"/>
    <w:rsid w:val="005012F9"/>
    <w:rsid w:val="0050147F"/>
    <w:rsid w:val="00501507"/>
    <w:rsid w:val="005018F9"/>
    <w:rsid w:val="00501A0F"/>
    <w:rsid w:val="0050202C"/>
    <w:rsid w:val="0050207A"/>
    <w:rsid w:val="00502081"/>
    <w:rsid w:val="00502760"/>
    <w:rsid w:val="00502FB8"/>
    <w:rsid w:val="00503114"/>
    <w:rsid w:val="0050329B"/>
    <w:rsid w:val="00503AE0"/>
    <w:rsid w:val="00503C45"/>
    <w:rsid w:val="00503F1C"/>
    <w:rsid w:val="0050405D"/>
    <w:rsid w:val="005041F5"/>
    <w:rsid w:val="00504225"/>
    <w:rsid w:val="00504419"/>
    <w:rsid w:val="005044E9"/>
    <w:rsid w:val="0050452E"/>
    <w:rsid w:val="00504837"/>
    <w:rsid w:val="005048D4"/>
    <w:rsid w:val="00504C19"/>
    <w:rsid w:val="00504C52"/>
    <w:rsid w:val="00504E4F"/>
    <w:rsid w:val="00505176"/>
    <w:rsid w:val="00505450"/>
    <w:rsid w:val="0050552A"/>
    <w:rsid w:val="00505546"/>
    <w:rsid w:val="00505590"/>
    <w:rsid w:val="00505A01"/>
    <w:rsid w:val="00505A7B"/>
    <w:rsid w:val="00505E9C"/>
    <w:rsid w:val="00505F2D"/>
    <w:rsid w:val="0050627B"/>
    <w:rsid w:val="00506389"/>
    <w:rsid w:val="00506AE8"/>
    <w:rsid w:val="00506DA9"/>
    <w:rsid w:val="00507300"/>
    <w:rsid w:val="005073BF"/>
    <w:rsid w:val="00507623"/>
    <w:rsid w:val="005077AF"/>
    <w:rsid w:val="005078C4"/>
    <w:rsid w:val="005100EF"/>
    <w:rsid w:val="005102A0"/>
    <w:rsid w:val="005108C3"/>
    <w:rsid w:val="00511312"/>
    <w:rsid w:val="00511363"/>
    <w:rsid w:val="005113FB"/>
    <w:rsid w:val="00511565"/>
    <w:rsid w:val="005115BF"/>
    <w:rsid w:val="005115CA"/>
    <w:rsid w:val="00511843"/>
    <w:rsid w:val="00512193"/>
    <w:rsid w:val="0051219B"/>
    <w:rsid w:val="005125A4"/>
    <w:rsid w:val="00512683"/>
    <w:rsid w:val="005126D8"/>
    <w:rsid w:val="00512A6A"/>
    <w:rsid w:val="0051319E"/>
    <w:rsid w:val="005131E6"/>
    <w:rsid w:val="005134EE"/>
    <w:rsid w:val="0051375D"/>
    <w:rsid w:val="00513C08"/>
    <w:rsid w:val="00513E52"/>
    <w:rsid w:val="00514528"/>
    <w:rsid w:val="00514CD6"/>
    <w:rsid w:val="00514E2A"/>
    <w:rsid w:val="00515049"/>
    <w:rsid w:val="0051566A"/>
    <w:rsid w:val="00515892"/>
    <w:rsid w:val="005162DA"/>
    <w:rsid w:val="0051644E"/>
    <w:rsid w:val="00516541"/>
    <w:rsid w:val="0051660E"/>
    <w:rsid w:val="0051678E"/>
    <w:rsid w:val="0051699D"/>
    <w:rsid w:val="00516A73"/>
    <w:rsid w:val="00516B27"/>
    <w:rsid w:val="00516D16"/>
    <w:rsid w:val="00516F55"/>
    <w:rsid w:val="00516F86"/>
    <w:rsid w:val="00516FE6"/>
    <w:rsid w:val="00517116"/>
    <w:rsid w:val="0051740E"/>
    <w:rsid w:val="005174F7"/>
    <w:rsid w:val="00517966"/>
    <w:rsid w:val="0051799D"/>
    <w:rsid w:val="00517BCA"/>
    <w:rsid w:val="00517EB9"/>
    <w:rsid w:val="005204EA"/>
    <w:rsid w:val="0052058F"/>
    <w:rsid w:val="00520597"/>
    <w:rsid w:val="0052063D"/>
    <w:rsid w:val="00520823"/>
    <w:rsid w:val="00520835"/>
    <w:rsid w:val="00521015"/>
    <w:rsid w:val="005212D8"/>
    <w:rsid w:val="00521603"/>
    <w:rsid w:val="005220AF"/>
    <w:rsid w:val="0052247D"/>
    <w:rsid w:val="00522CB2"/>
    <w:rsid w:val="00522CF2"/>
    <w:rsid w:val="00522EB5"/>
    <w:rsid w:val="00522F00"/>
    <w:rsid w:val="00523112"/>
    <w:rsid w:val="00523186"/>
    <w:rsid w:val="0052334F"/>
    <w:rsid w:val="00523820"/>
    <w:rsid w:val="005238AC"/>
    <w:rsid w:val="00523A12"/>
    <w:rsid w:val="00523CD4"/>
    <w:rsid w:val="00524175"/>
    <w:rsid w:val="005243FD"/>
    <w:rsid w:val="00524444"/>
    <w:rsid w:val="005249A2"/>
    <w:rsid w:val="00524A17"/>
    <w:rsid w:val="00525190"/>
    <w:rsid w:val="005252E3"/>
    <w:rsid w:val="0052575A"/>
    <w:rsid w:val="005257F3"/>
    <w:rsid w:val="00525E52"/>
    <w:rsid w:val="00526296"/>
    <w:rsid w:val="005262BF"/>
    <w:rsid w:val="005264E0"/>
    <w:rsid w:val="0052660D"/>
    <w:rsid w:val="00526A15"/>
    <w:rsid w:val="00526C8D"/>
    <w:rsid w:val="005273EF"/>
    <w:rsid w:val="0052753A"/>
    <w:rsid w:val="00527909"/>
    <w:rsid w:val="00527AAA"/>
    <w:rsid w:val="00527B43"/>
    <w:rsid w:val="0053007F"/>
    <w:rsid w:val="00530180"/>
    <w:rsid w:val="00530770"/>
    <w:rsid w:val="005311D3"/>
    <w:rsid w:val="00531396"/>
    <w:rsid w:val="005313C8"/>
    <w:rsid w:val="00531505"/>
    <w:rsid w:val="00531814"/>
    <w:rsid w:val="005318C2"/>
    <w:rsid w:val="00531951"/>
    <w:rsid w:val="00531A3F"/>
    <w:rsid w:val="00531AD2"/>
    <w:rsid w:val="00531B37"/>
    <w:rsid w:val="00532096"/>
    <w:rsid w:val="0053210D"/>
    <w:rsid w:val="0053220A"/>
    <w:rsid w:val="00532448"/>
    <w:rsid w:val="00532452"/>
    <w:rsid w:val="00532816"/>
    <w:rsid w:val="00532A28"/>
    <w:rsid w:val="00532B57"/>
    <w:rsid w:val="00532EB9"/>
    <w:rsid w:val="0053317E"/>
    <w:rsid w:val="005334A6"/>
    <w:rsid w:val="00534666"/>
    <w:rsid w:val="005346DB"/>
    <w:rsid w:val="005346F2"/>
    <w:rsid w:val="005347C3"/>
    <w:rsid w:val="00534BA5"/>
    <w:rsid w:val="00534E60"/>
    <w:rsid w:val="00535037"/>
    <w:rsid w:val="00535218"/>
    <w:rsid w:val="005358BF"/>
    <w:rsid w:val="00535B63"/>
    <w:rsid w:val="00535F96"/>
    <w:rsid w:val="00535FA5"/>
    <w:rsid w:val="00536054"/>
    <w:rsid w:val="005362AF"/>
    <w:rsid w:val="0053637A"/>
    <w:rsid w:val="00536508"/>
    <w:rsid w:val="0053687B"/>
    <w:rsid w:val="005369BC"/>
    <w:rsid w:val="005369D3"/>
    <w:rsid w:val="00536B2A"/>
    <w:rsid w:val="00536CB5"/>
    <w:rsid w:val="00536CCA"/>
    <w:rsid w:val="005373D5"/>
    <w:rsid w:val="00537D60"/>
    <w:rsid w:val="00537EF5"/>
    <w:rsid w:val="0054001C"/>
    <w:rsid w:val="00540024"/>
    <w:rsid w:val="005401BA"/>
    <w:rsid w:val="00540411"/>
    <w:rsid w:val="00540412"/>
    <w:rsid w:val="005405F0"/>
    <w:rsid w:val="00540665"/>
    <w:rsid w:val="00540D38"/>
    <w:rsid w:val="00540DA4"/>
    <w:rsid w:val="0054106D"/>
    <w:rsid w:val="0054110E"/>
    <w:rsid w:val="00541311"/>
    <w:rsid w:val="005413ED"/>
    <w:rsid w:val="0054146C"/>
    <w:rsid w:val="0054193A"/>
    <w:rsid w:val="0054194D"/>
    <w:rsid w:val="00541E30"/>
    <w:rsid w:val="00541E5F"/>
    <w:rsid w:val="0054261C"/>
    <w:rsid w:val="005429CB"/>
    <w:rsid w:val="00542D2B"/>
    <w:rsid w:val="005431B3"/>
    <w:rsid w:val="005431FD"/>
    <w:rsid w:val="00543588"/>
    <w:rsid w:val="00543790"/>
    <w:rsid w:val="00543CBB"/>
    <w:rsid w:val="00543CFE"/>
    <w:rsid w:val="00544225"/>
    <w:rsid w:val="00544265"/>
    <w:rsid w:val="0054430D"/>
    <w:rsid w:val="0054455C"/>
    <w:rsid w:val="0054477B"/>
    <w:rsid w:val="00544A6B"/>
    <w:rsid w:val="00544C9E"/>
    <w:rsid w:val="00544E9A"/>
    <w:rsid w:val="005456D3"/>
    <w:rsid w:val="005459A2"/>
    <w:rsid w:val="005459C5"/>
    <w:rsid w:val="00545DA9"/>
    <w:rsid w:val="00545E55"/>
    <w:rsid w:val="00546037"/>
    <w:rsid w:val="00546043"/>
    <w:rsid w:val="0054633D"/>
    <w:rsid w:val="005464CB"/>
    <w:rsid w:val="00546B2A"/>
    <w:rsid w:val="00546EF2"/>
    <w:rsid w:val="0054713D"/>
    <w:rsid w:val="0054797E"/>
    <w:rsid w:val="00547CE4"/>
    <w:rsid w:val="0055016C"/>
    <w:rsid w:val="0055061D"/>
    <w:rsid w:val="00550783"/>
    <w:rsid w:val="00550A20"/>
    <w:rsid w:val="00551331"/>
    <w:rsid w:val="00551340"/>
    <w:rsid w:val="0055145E"/>
    <w:rsid w:val="00551577"/>
    <w:rsid w:val="00551581"/>
    <w:rsid w:val="00551E2B"/>
    <w:rsid w:val="00551E48"/>
    <w:rsid w:val="005520A3"/>
    <w:rsid w:val="0055227C"/>
    <w:rsid w:val="005523B0"/>
    <w:rsid w:val="00552437"/>
    <w:rsid w:val="005528D6"/>
    <w:rsid w:val="0055296F"/>
    <w:rsid w:val="00552FA6"/>
    <w:rsid w:val="00553848"/>
    <w:rsid w:val="0055393B"/>
    <w:rsid w:val="00553BD3"/>
    <w:rsid w:val="00553D7A"/>
    <w:rsid w:val="00553E34"/>
    <w:rsid w:val="005540A4"/>
    <w:rsid w:val="005540A6"/>
    <w:rsid w:val="0055492B"/>
    <w:rsid w:val="00554A10"/>
    <w:rsid w:val="00554F0B"/>
    <w:rsid w:val="005554BC"/>
    <w:rsid w:val="005559D3"/>
    <w:rsid w:val="00555C5C"/>
    <w:rsid w:val="00555F90"/>
    <w:rsid w:val="005560BA"/>
    <w:rsid w:val="005563D3"/>
    <w:rsid w:val="0055646A"/>
    <w:rsid w:val="00556774"/>
    <w:rsid w:val="005567A3"/>
    <w:rsid w:val="005567E2"/>
    <w:rsid w:val="00556B58"/>
    <w:rsid w:val="00556BC9"/>
    <w:rsid w:val="00556E30"/>
    <w:rsid w:val="00557156"/>
    <w:rsid w:val="00557245"/>
    <w:rsid w:val="00557D13"/>
    <w:rsid w:val="00557E10"/>
    <w:rsid w:val="00557F40"/>
    <w:rsid w:val="005602AF"/>
    <w:rsid w:val="00560555"/>
    <w:rsid w:val="0056072F"/>
    <w:rsid w:val="00560D75"/>
    <w:rsid w:val="00560F67"/>
    <w:rsid w:val="00561170"/>
    <w:rsid w:val="0056117E"/>
    <w:rsid w:val="005617B4"/>
    <w:rsid w:val="005617E1"/>
    <w:rsid w:val="00561815"/>
    <w:rsid w:val="00561877"/>
    <w:rsid w:val="005620A7"/>
    <w:rsid w:val="00562539"/>
    <w:rsid w:val="00562546"/>
    <w:rsid w:val="005628FF"/>
    <w:rsid w:val="00562ACF"/>
    <w:rsid w:val="00562D4A"/>
    <w:rsid w:val="00563009"/>
    <w:rsid w:val="00563176"/>
    <w:rsid w:val="005638FE"/>
    <w:rsid w:val="00563929"/>
    <w:rsid w:val="00563E58"/>
    <w:rsid w:val="00564882"/>
    <w:rsid w:val="005648B0"/>
    <w:rsid w:val="005649AD"/>
    <w:rsid w:val="005655E1"/>
    <w:rsid w:val="0056561D"/>
    <w:rsid w:val="00565B08"/>
    <w:rsid w:val="00565BAE"/>
    <w:rsid w:val="00565E63"/>
    <w:rsid w:val="00566170"/>
    <w:rsid w:val="005667EF"/>
    <w:rsid w:val="00566896"/>
    <w:rsid w:val="00566C7B"/>
    <w:rsid w:val="00567175"/>
    <w:rsid w:val="005672F1"/>
    <w:rsid w:val="00567397"/>
    <w:rsid w:val="005673A3"/>
    <w:rsid w:val="005675E9"/>
    <w:rsid w:val="00567B40"/>
    <w:rsid w:val="00567CA9"/>
    <w:rsid w:val="00567D3B"/>
    <w:rsid w:val="0057031B"/>
    <w:rsid w:val="005704F5"/>
    <w:rsid w:val="0057083F"/>
    <w:rsid w:val="00570A35"/>
    <w:rsid w:val="00570DA0"/>
    <w:rsid w:val="00571464"/>
    <w:rsid w:val="0057149D"/>
    <w:rsid w:val="00571538"/>
    <w:rsid w:val="00571934"/>
    <w:rsid w:val="0057198A"/>
    <w:rsid w:val="00571FAC"/>
    <w:rsid w:val="005720EF"/>
    <w:rsid w:val="005721EB"/>
    <w:rsid w:val="00572369"/>
    <w:rsid w:val="00572735"/>
    <w:rsid w:val="00572D1B"/>
    <w:rsid w:val="00573BFC"/>
    <w:rsid w:val="00573CF2"/>
    <w:rsid w:val="00573D63"/>
    <w:rsid w:val="00573DDF"/>
    <w:rsid w:val="00573FEA"/>
    <w:rsid w:val="005740FE"/>
    <w:rsid w:val="00574288"/>
    <w:rsid w:val="005744AD"/>
    <w:rsid w:val="00574500"/>
    <w:rsid w:val="00574924"/>
    <w:rsid w:val="00574BB1"/>
    <w:rsid w:val="00574BBC"/>
    <w:rsid w:val="00574F37"/>
    <w:rsid w:val="00575434"/>
    <w:rsid w:val="00575442"/>
    <w:rsid w:val="005754AD"/>
    <w:rsid w:val="00575540"/>
    <w:rsid w:val="005756D9"/>
    <w:rsid w:val="005759CF"/>
    <w:rsid w:val="00575C29"/>
    <w:rsid w:val="00575C6B"/>
    <w:rsid w:val="00576117"/>
    <w:rsid w:val="0057616A"/>
    <w:rsid w:val="00576B3F"/>
    <w:rsid w:val="00576F3F"/>
    <w:rsid w:val="00577158"/>
    <w:rsid w:val="00577607"/>
    <w:rsid w:val="00577798"/>
    <w:rsid w:val="00580152"/>
    <w:rsid w:val="00580828"/>
    <w:rsid w:val="00580DC6"/>
    <w:rsid w:val="00581128"/>
    <w:rsid w:val="00581242"/>
    <w:rsid w:val="0058134D"/>
    <w:rsid w:val="005819EE"/>
    <w:rsid w:val="00581CC0"/>
    <w:rsid w:val="005823FF"/>
    <w:rsid w:val="005824B8"/>
    <w:rsid w:val="005827D2"/>
    <w:rsid w:val="0058288E"/>
    <w:rsid w:val="005829C2"/>
    <w:rsid w:val="00582CDF"/>
    <w:rsid w:val="005830FE"/>
    <w:rsid w:val="005831A3"/>
    <w:rsid w:val="00583313"/>
    <w:rsid w:val="00583648"/>
    <w:rsid w:val="00583837"/>
    <w:rsid w:val="00584C71"/>
    <w:rsid w:val="00584D66"/>
    <w:rsid w:val="00584F02"/>
    <w:rsid w:val="00584F5B"/>
    <w:rsid w:val="00585460"/>
    <w:rsid w:val="00585EBA"/>
    <w:rsid w:val="00586293"/>
    <w:rsid w:val="00586C9E"/>
    <w:rsid w:val="00586E8E"/>
    <w:rsid w:val="00587172"/>
    <w:rsid w:val="0058735A"/>
    <w:rsid w:val="005877E3"/>
    <w:rsid w:val="005878E3"/>
    <w:rsid w:val="00587994"/>
    <w:rsid w:val="00587C3E"/>
    <w:rsid w:val="005901EB"/>
    <w:rsid w:val="00590A83"/>
    <w:rsid w:val="00590B2E"/>
    <w:rsid w:val="00590DCE"/>
    <w:rsid w:val="005912F1"/>
    <w:rsid w:val="00591499"/>
    <w:rsid w:val="0059162D"/>
    <w:rsid w:val="00591733"/>
    <w:rsid w:val="005918B4"/>
    <w:rsid w:val="005919BE"/>
    <w:rsid w:val="005920F2"/>
    <w:rsid w:val="00592141"/>
    <w:rsid w:val="005925ED"/>
    <w:rsid w:val="00592A84"/>
    <w:rsid w:val="00592CA9"/>
    <w:rsid w:val="00592DB4"/>
    <w:rsid w:val="00592E09"/>
    <w:rsid w:val="00592E30"/>
    <w:rsid w:val="005930D5"/>
    <w:rsid w:val="005934BE"/>
    <w:rsid w:val="00593689"/>
    <w:rsid w:val="00593976"/>
    <w:rsid w:val="00593D0C"/>
    <w:rsid w:val="005945BC"/>
    <w:rsid w:val="00594707"/>
    <w:rsid w:val="0059487E"/>
    <w:rsid w:val="00594CD5"/>
    <w:rsid w:val="00594E0A"/>
    <w:rsid w:val="005954E6"/>
    <w:rsid w:val="00595504"/>
    <w:rsid w:val="0059591F"/>
    <w:rsid w:val="00595B38"/>
    <w:rsid w:val="00595C02"/>
    <w:rsid w:val="00595C4B"/>
    <w:rsid w:val="00595F0A"/>
    <w:rsid w:val="0059647D"/>
    <w:rsid w:val="005967BC"/>
    <w:rsid w:val="00596BB9"/>
    <w:rsid w:val="00596BCF"/>
    <w:rsid w:val="00597290"/>
    <w:rsid w:val="005973C4"/>
    <w:rsid w:val="005A0443"/>
    <w:rsid w:val="005A068A"/>
    <w:rsid w:val="005A0A01"/>
    <w:rsid w:val="005A0A09"/>
    <w:rsid w:val="005A0CB3"/>
    <w:rsid w:val="005A101F"/>
    <w:rsid w:val="005A114A"/>
    <w:rsid w:val="005A1210"/>
    <w:rsid w:val="005A1812"/>
    <w:rsid w:val="005A1A48"/>
    <w:rsid w:val="005A23FC"/>
    <w:rsid w:val="005A267B"/>
    <w:rsid w:val="005A26C2"/>
    <w:rsid w:val="005A2829"/>
    <w:rsid w:val="005A2836"/>
    <w:rsid w:val="005A2C86"/>
    <w:rsid w:val="005A3173"/>
    <w:rsid w:val="005A325F"/>
    <w:rsid w:val="005A339F"/>
    <w:rsid w:val="005A3A42"/>
    <w:rsid w:val="005A3A8C"/>
    <w:rsid w:val="005A3D8E"/>
    <w:rsid w:val="005A3F4B"/>
    <w:rsid w:val="005A44C3"/>
    <w:rsid w:val="005A4ED6"/>
    <w:rsid w:val="005A4F7B"/>
    <w:rsid w:val="005A526B"/>
    <w:rsid w:val="005A580A"/>
    <w:rsid w:val="005A5BA2"/>
    <w:rsid w:val="005A5DEE"/>
    <w:rsid w:val="005A60B7"/>
    <w:rsid w:val="005A65EE"/>
    <w:rsid w:val="005A6A15"/>
    <w:rsid w:val="005A6CBD"/>
    <w:rsid w:val="005A6CD3"/>
    <w:rsid w:val="005A7237"/>
    <w:rsid w:val="005A7492"/>
    <w:rsid w:val="005A79BF"/>
    <w:rsid w:val="005A7D44"/>
    <w:rsid w:val="005B06F7"/>
    <w:rsid w:val="005B0CEE"/>
    <w:rsid w:val="005B0FDC"/>
    <w:rsid w:val="005B1101"/>
    <w:rsid w:val="005B123A"/>
    <w:rsid w:val="005B1242"/>
    <w:rsid w:val="005B147E"/>
    <w:rsid w:val="005B14B5"/>
    <w:rsid w:val="005B154E"/>
    <w:rsid w:val="005B1673"/>
    <w:rsid w:val="005B1B5E"/>
    <w:rsid w:val="005B2135"/>
    <w:rsid w:val="005B23B7"/>
    <w:rsid w:val="005B245F"/>
    <w:rsid w:val="005B2484"/>
    <w:rsid w:val="005B254B"/>
    <w:rsid w:val="005B25B8"/>
    <w:rsid w:val="005B26A9"/>
    <w:rsid w:val="005B277B"/>
    <w:rsid w:val="005B2BF6"/>
    <w:rsid w:val="005B2EAD"/>
    <w:rsid w:val="005B32B9"/>
    <w:rsid w:val="005B3310"/>
    <w:rsid w:val="005B3567"/>
    <w:rsid w:val="005B37DF"/>
    <w:rsid w:val="005B3997"/>
    <w:rsid w:val="005B3DDC"/>
    <w:rsid w:val="005B3EB2"/>
    <w:rsid w:val="005B425F"/>
    <w:rsid w:val="005B4413"/>
    <w:rsid w:val="005B4A5B"/>
    <w:rsid w:val="005B4B57"/>
    <w:rsid w:val="005B4DFB"/>
    <w:rsid w:val="005B4E48"/>
    <w:rsid w:val="005B5BDB"/>
    <w:rsid w:val="005B600B"/>
    <w:rsid w:val="005B609A"/>
    <w:rsid w:val="005B60DD"/>
    <w:rsid w:val="005B60F3"/>
    <w:rsid w:val="005B633A"/>
    <w:rsid w:val="005B63D9"/>
    <w:rsid w:val="005B6763"/>
    <w:rsid w:val="005B6809"/>
    <w:rsid w:val="005B6E35"/>
    <w:rsid w:val="005B6E76"/>
    <w:rsid w:val="005B6FE1"/>
    <w:rsid w:val="005B71BB"/>
    <w:rsid w:val="005B7290"/>
    <w:rsid w:val="005B7C50"/>
    <w:rsid w:val="005B7DD7"/>
    <w:rsid w:val="005B7E24"/>
    <w:rsid w:val="005C0438"/>
    <w:rsid w:val="005C049F"/>
    <w:rsid w:val="005C04EE"/>
    <w:rsid w:val="005C07D9"/>
    <w:rsid w:val="005C0C47"/>
    <w:rsid w:val="005C1293"/>
    <w:rsid w:val="005C12B1"/>
    <w:rsid w:val="005C1513"/>
    <w:rsid w:val="005C1940"/>
    <w:rsid w:val="005C1CEA"/>
    <w:rsid w:val="005C1D89"/>
    <w:rsid w:val="005C21EA"/>
    <w:rsid w:val="005C24D7"/>
    <w:rsid w:val="005C259E"/>
    <w:rsid w:val="005C2771"/>
    <w:rsid w:val="005C279C"/>
    <w:rsid w:val="005C28E1"/>
    <w:rsid w:val="005C2A16"/>
    <w:rsid w:val="005C2BBC"/>
    <w:rsid w:val="005C2BE5"/>
    <w:rsid w:val="005C356A"/>
    <w:rsid w:val="005C395D"/>
    <w:rsid w:val="005C3E9D"/>
    <w:rsid w:val="005C41B1"/>
    <w:rsid w:val="005C4327"/>
    <w:rsid w:val="005C436D"/>
    <w:rsid w:val="005C4395"/>
    <w:rsid w:val="005C480F"/>
    <w:rsid w:val="005C492D"/>
    <w:rsid w:val="005C4A96"/>
    <w:rsid w:val="005C4FAE"/>
    <w:rsid w:val="005C50F3"/>
    <w:rsid w:val="005C51EC"/>
    <w:rsid w:val="005C52E6"/>
    <w:rsid w:val="005C5BD8"/>
    <w:rsid w:val="005C5ED7"/>
    <w:rsid w:val="005C5F83"/>
    <w:rsid w:val="005C604A"/>
    <w:rsid w:val="005C629E"/>
    <w:rsid w:val="005C6479"/>
    <w:rsid w:val="005C6675"/>
    <w:rsid w:val="005C66FD"/>
    <w:rsid w:val="005C689D"/>
    <w:rsid w:val="005C68B9"/>
    <w:rsid w:val="005C69C7"/>
    <w:rsid w:val="005C6E3F"/>
    <w:rsid w:val="005C72CA"/>
    <w:rsid w:val="005C7400"/>
    <w:rsid w:val="005C76B9"/>
    <w:rsid w:val="005D018E"/>
    <w:rsid w:val="005D02CD"/>
    <w:rsid w:val="005D030B"/>
    <w:rsid w:val="005D03F7"/>
    <w:rsid w:val="005D0448"/>
    <w:rsid w:val="005D0A4D"/>
    <w:rsid w:val="005D0BC2"/>
    <w:rsid w:val="005D0CE4"/>
    <w:rsid w:val="005D0F6E"/>
    <w:rsid w:val="005D1276"/>
    <w:rsid w:val="005D14B8"/>
    <w:rsid w:val="005D14FC"/>
    <w:rsid w:val="005D176D"/>
    <w:rsid w:val="005D2121"/>
    <w:rsid w:val="005D228F"/>
    <w:rsid w:val="005D2940"/>
    <w:rsid w:val="005D2D78"/>
    <w:rsid w:val="005D2D86"/>
    <w:rsid w:val="005D2DDC"/>
    <w:rsid w:val="005D2F7C"/>
    <w:rsid w:val="005D3140"/>
    <w:rsid w:val="005D321E"/>
    <w:rsid w:val="005D3221"/>
    <w:rsid w:val="005D34F8"/>
    <w:rsid w:val="005D3795"/>
    <w:rsid w:val="005D3CCF"/>
    <w:rsid w:val="005D431E"/>
    <w:rsid w:val="005D43D9"/>
    <w:rsid w:val="005D4A7A"/>
    <w:rsid w:val="005D4AEC"/>
    <w:rsid w:val="005D4BFA"/>
    <w:rsid w:val="005D4D3B"/>
    <w:rsid w:val="005D4E4B"/>
    <w:rsid w:val="005D5420"/>
    <w:rsid w:val="005D571C"/>
    <w:rsid w:val="005D5762"/>
    <w:rsid w:val="005D58AE"/>
    <w:rsid w:val="005D5AF1"/>
    <w:rsid w:val="005D5E4F"/>
    <w:rsid w:val="005D5F2D"/>
    <w:rsid w:val="005D5F79"/>
    <w:rsid w:val="005D61F1"/>
    <w:rsid w:val="005D648C"/>
    <w:rsid w:val="005D649F"/>
    <w:rsid w:val="005D65D2"/>
    <w:rsid w:val="005D6F91"/>
    <w:rsid w:val="005D70E0"/>
    <w:rsid w:val="005D7251"/>
    <w:rsid w:val="005D763C"/>
    <w:rsid w:val="005D76D4"/>
    <w:rsid w:val="005D77B1"/>
    <w:rsid w:val="005D7836"/>
    <w:rsid w:val="005D7B48"/>
    <w:rsid w:val="005D7F06"/>
    <w:rsid w:val="005E0014"/>
    <w:rsid w:val="005E0198"/>
    <w:rsid w:val="005E065B"/>
    <w:rsid w:val="005E10FE"/>
    <w:rsid w:val="005E11D6"/>
    <w:rsid w:val="005E12F3"/>
    <w:rsid w:val="005E18DE"/>
    <w:rsid w:val="005E1AAD"/>
    <w:rsid w:val="005E1C59"/>
    <w:rsid w:val="005E2479"/>
    <w:rsid w:val="005E2B5E"/>
    <w:rsid w:val="005E2E50"/>
    <w:rsid w:val="005E329D"/>
    <w:rsid w:val="005E32C2"/>
    <w:rsid w:val="005E3648"/>
    <w:rsid w:val="005E396A"/>
    <w:rsid w:val="005E39A0"/>
    <w:rsid w:val="005E3F65"/>
    <w:rsid w:val="005E414D"/>
    <w:rsid w:val="005E4421"/>
    <w:rsid w:val="005E4BB8"/>
    <w:rsid w:val="005E4EF4"/>
    <w:rsid w:val="005E51D6"/>
    <w:rsid w:val="005E53A5"/>
    <w:rsid w:val="005E546E"/>
    <w:rsid w:val="005E59FD"/>
    <w:rsid w:val="005E6484"/>
    <w:rsid w:val="005E6652"/>
    <w:rsid w:val="005E6809"/>
    <w:rsid w:val="005E681F"/>
    <w:rsid w:val="005E690C"/>
    <w:rsid w:val="005E69F1"/>
    <w:rsid w:val="005E6A0A"/>
    <w:rsid w:val="005E6A74"/>
    <w:rsid w:val="005E6D2D"/>
    <w:rsid w:val="005E6E5F"/>
    <w:rsid w:val="005E6F19"/>
    <w:rsid w:val="005E6F81"/>
    <w:rsid w:val="005E6F85"/>
    <w:rsid w:val="005E6FCC"/>
    <w:rsid w:val="005E715D"/>
    <w:rsid w:val="005E73AD"/>
    <w:rsid w:val="005E74CD"/>
    <w:rsid w:val="005E7756"/>
    <w:rsid w:val="005E775C"/>
    <w:rsid w:val="005E77FF"/>
    <w:rsid w:val="005E7ACA"/>
    <w:rsid w:val="005E7DBD"/>
    <w:rsid w:val="005E7DCF"/>
    <w:rsid w:val="005E7F32"/>
    <w:rsid w:val="005F0609"/>
    <w:rsid w:val="005F0B68"/>
    <w:rsid w:val="005F0DB8"/>
    <w:rsid w:val="005F0F46"/>
    <w:rsid w:val="005F1116"/>
    <w:rsid w:val="005F134D"/>
    <w:rsid w:val="005F157D"/>
    <w:rsid w:val="005F1822"/>
    <w:rsid w:val="005F18A6"/>
    <w:rsid w:val="005F1D75"/>
    <w:rsid w:val="005F1E15"/>
    <w:rsid w:val="005F1E4C"/>
    <w:rsid w:val="005F21B6"/>
    <w:rsid w:val="005F293E"/>
    <w:rsid w:val="005F2CB7"/>
    <w:rsid w:val="005F2FBF"/>
    <w:rsid w:val="005F30B1"/>
    <w:rsid w:val="005F33C2"/>
    <w:rsid w:val="005F39F5"/>
    <w:rsid w:val="005F3B75"/>
    <w:rsid w:val="005F3C43"/>
    <w:rsid w:val="005F3C5C"/>
    <w:rsid w:val="005F4031"/>
    <w:rsid w:val="005F49C2"/>
    <w:rsid w:val="005F4CEE"/>
    <w:rsid w:val="005F5CCC"/>
    <w:rsid w:val="005F5D8D"/>
    <w:rsid w:val="005F602E"/>
    <w:rsid w:val="005F617B"/>
    <w:rsid w:val="005F6264"/>
    <w:rsid w:val="005F649C"/>
    <w:rsid w:val="005F654F"/>
    <w:rsid w:val="005F669E"/>
    <w:rsid w:val="005F67FE"/>
    <w:rsid w:val="005F6935"/>
    <w:rsid w:val="005F6977"/>
    <w:rsid w:val="005F69D9"/>
    <w:rsid w:val="005F7475"/>
    <w:rsid w:val="005F77D9"/>
    <w:rsid w:val="005F783B"/>
    <w:rsid w:val="005F7ACD"/>
    <w:rsid w:val="005F7B7E"/>
    <w:rsid w:val="005F7BC7"/>
    <w:rsid w:val="006001EA"/>
    <w:rsid w:val="0060025A"/>
    <w:rsid w:val="0060035E"/>
    <w:rsid w:val="006004E7"/>
    <w:rsid w:val="0060081B"/>
    <w:rsid w:val="0060086E"/>
    <w:rsid w:val="00600C88"/>
    <w:rsid w:val="00600CA6"/>
    <w:rsid w:val="00600D84"/>
    <w:rsid w:val="00600F54"/>
    <w:rsid w:val="0060101B"/>
    <w:rsid w:val="00601277"/>
    <w:rsid w:val="00601A32"/>
    <w:rsid w:val="00601AF8"/>
    <w:rsid w:val="00601BD8"/>
    <w:rsid w:val="00602089"/>
    <w:rsid w:val="00602578"/>
    <w:rsid w:val="00602E0E"/>
    <w:rsid w:val="00602F8C"/>
    <w:rsid w:val="00603028"/>
    <w:rsid w:val="006030E7"/>
    <w:rsid w:val="006034E6"/>
    <w:rsid w:val="00603B47"/>
    <w:rsid w:val="00603B79"/>
    <w:rsid w:val="00603CAC"/>
    <w:rsid w:val="00603DF9"/>
    <w:rsid w:val="00604004"/>
    <w:rsid w:val="00604072"/>
    <w:rsid w:val="00604331"/>
    <w:rsid w:val="006044FB"/>
    <w:rsid w:val="00604956"/>
    <w:rsid w:val="00605321"/>
    <w:rsid w:val="0060534C"/>
    <w:rsid w:val="006053ED"/>
    <w:rsid w:val="0060578B"/>
    <w:rsid w:val="0060584D"/>
    <w:rsid w:val="006058C0"/>
    <w:rsid w:val="006058C2"/>
    <w:rsid w:val="00605FB8"/>
    <w:rsid w:val="00606761"/>
    <w:rsid w:val="0060685C"/>
    <w:rsid w:val="006068EE"/>
    <w:rsid w:val="00606918"/>
    <w:rsid w:val="00606936"/>
    <w:rsid w:val="00606B24"/>
    <w:rsid w:val="00606C83"/>
    <w:rsid w:val="00606C84"/>
    <w:rsid w:val="00606ED0"/>
    <w:rsid w:val="00606FBA"/>
    <w:rsid w:val="0060712E"/>
    <w:rsid w:val="006074F9"/>
    <w:rsid w:val="006076A0"/>
    <w:rsid w:val="00607794"/>
    <w:rsid w:val="00607A21"/>
    <w:rsid w:val="006104A0"/>
    <w:rsid w:val="00610504"/>
    <w:rsid w:val="00610724"/>
    <w:rsid w:val="00610E7E"/>
    <w:rsid w:val="00610F04"/>
    <w:rsid w:val="00610F31"/>
    <w:rsid w:val="006110C2"/>
    <w:rsid w:val="00611143"/>
    <w:rsid w:val="00611503"/>
    <w:rsid w:val="006115D7"/>
    <w:rsid w:val="00611789"/>
    <w:rsid w:val="00611988"/>
    <w:rsid w:val="00611BD9"/>
    <w:rsid w:val="00611CB7"/>
    <w:rsid w:val="00611D07"/>
    <w:rsid w:val="00611FD1"/>
    <w:rsid w:val="00612358"/>
    <w:rsid w:val="006124DD"/>
    <w:rsid w:val="006129D0"/>
    <w:rsid w:val="00612AF0"/>
    <w:rsid w:val="00612D02"/>
    <w:rsid w:val="00613542"/>
    <w:rsid w:val="00613901"/>
    <w:rsid w:val="006139F2"/>
    <w:rsid w:val="00614144"/>
    <w:rsid w:val="00614173"/>
    <w:rsid w:val="0061419E"/>
    <w:rsid w:val="00614224"/>
    <w:rsid w:val="00614962"/>
    <w:rsid w:val="00614965"/>
    <w:rsid w:val="006149DA"/>
    <w:rsid w:val="006150F6"/>
    <w:rsid w:val="00615261"/>
    <w:rsid w:val="006153D5"/>
    <w:rsid w:val="006153F5"/>
    <w:rsid w:val="006155E3"/>
    <w:rsid w:val="00615C0E"/>
    <w:rsid w:val="00615F67"/>
    <w:rsid w:val="0061601C"/>
    <w:rsid w:val="00616401"/>
    <w:rsid w:val="00616630"/>
    <w:rsid w:val="00616AF8"/>
    <w:rsid w:val="00616D5A"/>
    <w:rsid w:val="00616DDE"/>
    <w:rsid w:val="00616F0C"/>
    <w:rsid w:val="00617354"/>
    <w:rsid w:val="00617A4A"/>
    <w:rsid w:val="00617B77"/>
    <w:rsid w:val="00617F2A"/>
    <w:rsid w:val="0062014F"/>
    <w:rsid w:val="006201C9"/>
    <w:rsid w:val="006205DA"/>
    <w:rsid w:val="00620983"/>
    <w:rsid w:val="00620A7F"/>
    <w:rsid w:val="0062158E"/>
    <w:rsid w:val="00621C77"/>
    <w:rsid w:val="00622410"/>
    <w:rsid w:val="0062270D"/>
    <w:rsid w:val="00622BCB"/>
    <w:rsid w:val="006231E3"/>
    <w:rsid w:val="0062368E"/>
    <w:rsid w:val="006238BE"/>
    <w:rsid w:val="0062418D"/>
    <w:rsid w:val="006241CC"/>
    <w:rsid w:val="00624645"/>
    <w:rsid w:val="00624A84"/>
    <w:rsid w:val="00624D24"/>
    <w:rsid w:val="006251AE"/>
    <w:rsid w:val="00625334"/>
    <w:rsid w:val="006253C9"/>
    <w:rsid w:val="0062558D"/>
    <w:rsid w:val="006255E9"/>
    <w:rsid w:val="006259E5"/>
    <w:rsid w:val="00625E63"/>
    <w:rsid w:val="00625E91"/>
    <w:rsid w:val="00626619"/>
    <w:rsid w:val="00626B78"/>
    <w:rsid w:val="00626E89"/>
    <w:rsid w:val="0062700A"/>
    <w:rsid w:val="00627666"/>
    <w:rsid w:val="00627E61"/>
    <w:rsid w:val="00627EE0"/>
    <w:rsid w:val="00627F1B"/>
    <w:rsid w:val="00630092"/>
    <w:rsid w:val="006302DC"/>
    <w:rsid w:val="00630422"/>
    <w:rsid w:val="0063044A"/>
    <w:rsid w:val="00630AF6"/>
    <w:rsid w:val="00630BCA"/>
    <w:rsid w:val="00630FE6"/>
    <w:rsid w:val="00631188"/>
    <w:rsid w:val="0063129A"/>
    <w:rsid w:val="00631BDC"/>
    <w:rsid w:val="00631DA0"/>
    <w:rsid w:val="006328DD"/>
    <w:rsid w:val="00633248"/>
    <w:rsid w:val="0063341E"/>
    <w:rsid w:val="00633446"/>
    <w:rsid w:val="006334F2"/>
    <w:rsid w:val="00633644"/>
    <w:rsid w:val="00633ADF"/>
    <w:rsid w:val="00633B5B"/>
    <w:rsid w:val="00634324"/>
    <w:rsid w:val="006348E0"/>
    <w:rsid w:val="00635438"/>
    <w:rsid w:val="00635507"/>
    <w:rsid w:val="00635C58"/>
    <w:rsid w:val="00635E7C"/>
    <w:rsid w:val="00636257"/>
    <w:rsid w:val="006362AA"/>
    <w:rsid w:val="0063659C"/>
    <w:rsid w:val="00636785"/>
    <w:rsid w:val="00636878"/>
    <w:rsid w:val="00636BDC"/>
    <w:rsid w:val="0063717A"/>
    <w:rsid w:val="00637648"/>
    <w:rsid w:val="006376F0"/>
    <w:rsid w:val="00637745"/>
    <w:rsid w:val="00637C73"/>
    <w:rsid w:val="00637FA0"/>
    <w:rsid w:val="00637FBC"/>
    <w:rsid w:val="00640B99"/>
    <w:rsid w:val="0064101F"/>
    <w:rsid w:val="006410D9"/>
    <w:rsid w:val="006410EA"/>
    <w:rsid w:val="00641283"/>
    <w:rsid w:val="006412B5"/>
    <w:rsid w:val="006415F6"/>
    <w:rsid w:val="00641EB2"/>
    <w:rsid w:val="00641F06"/>
    <w:rsid w:val="00642144"/>
    <w:rsid w:val="0064239C"/>
    <w:rsid w:val="00642579"/>
    <w:rsid w:val="006426F3"/>
    <w:rsid w:val="00642BF2"/>
    <w:rsid w:val="00642CB2"/>
    <w:rsid w:val="00642E54"/>
    <w:rsid w:val="00642F29"/>
    <w:rsid w:val="0064314F"/>
    <w:rsid w:val="00643151"/>
    <w:rsid w:val="00643156"/>
    <w:rsid w:val="00643285"/>
    <w:rsid w:val="00643461"/>
    <w:rsid w:val="006436BD"/>
    <w:rsid w:val="00643995"/>
    <w:rsid w:val="00643A32"/>
    <w:rsid w:val="0064401A"/>
    <w:rsid w:val="00644097"/>
    <w:rsid w:val="00644856"/>
    <w:rsid w:val="00644A04"/>
    <w:rsid w:val="00644C2C"/>
    <w:rsid w:val="00644D61"/>
    <w:rsid w:val="00644DD1"/>
    <w:rsid w:val="006450E2"/>
    <w:rsid w:val="0064542B"/>
    <w:rsid w:val="0064555F"/>
    <w:rsid w:val="006456AC"/>
    <w:rsid w:val="0064597A"/>
    <w:rsid w:val="00645A9F"/>
    <w:rsid w:val="00645B02"/>
    <w:rsid w:val="00645D4F"/>
    <w:rsid w:val="006464D9"/>
    <w:rsid w:val="0064690E"/>
    <w:rsid w:val="0064692C"/>
    <w:rsid w:val="00646BDF"/>
    <w:rsid w:val="00646D54"/>
    <w:rsid w:val="00646FF3"/>
    <w:rsid w:val="00647198"/>
    <w:rsid w:val="00647297"/>
    <w:rsid w:val="00647719"/>
    <w:rsid w:val="006478E2"/>
    <w:rsid w:val="00647BBD"/>
    <w:rsid w:val="00647C9F"/>
    <w:rsid w:val="00647CA5"/>
    <w:rsid w:val="00647D8D"/>
    <w:rsid w:val="00650199"/>
    <w:rsid w:val="00650F8E"/>
    <w:rsid w:val="0065108E"/>
    <w:rsid w:val="00651C25"/>
    <w:rsid w:val="00651C4F"/>
    <w:rsid w:val="00651D0D"/>
    <w:rsid w:val="00651E7C"/>
    <w:rsid w:val="00652024"/>
    <w:rsid w:val="00652125"/>
    <w:rsid w:val="00652513"/>
    <w:rsid w:val="00652E6E"/>
    <w:rsid w:val="00653A60"/>
    <w:rsid w:val="00653C12"/>
    <w:rsid w:val="00654196"/>
    <w:rsid w:val="006541D5"/>
    <w:rsid w:val="006543F5"/>
    <w:rsid w:val="0065452F"/>
    <w:rsid w:val="00654533"/>
    <w:rsid w:val="00654973"/>
    <w:rsid w:val="00654A13"/>
    <w:rsid w:val="006550D5"/>
    <w:rsid w:val="00655CE2"/>
    <w:rsid w:val="00655EE5"/>
    <w:rsid w:val="0065603E"/>
    <w:rsid w:val="00656240"/>
    <w:rsid w:val="0065633C"/>
    <w:rsid w:val="00656DC4"/>
    <w:rsid w:val="00656F86"/>
    <w:rsid w:val="00656FE4"/>
    <w:rsid w:val="00657246"/>
    <w:rsid w:val="006573FD"/>
    <w:rsid w:val="006576D6"/>
    <w:rsid w:val="0065772B"/>
    <w:rsid w:val="00657994"/>
    <w:rsid w:val="006579BD"/>
    <w:rsid w:val="00657B81"/>
    <w:rsid w:val="00657CEF"/>
    <w:rsid w:val="00657D72"/>
    <w:rsid w:val="00657E60"/>
    <w:rsid w:val="00660329"/>
    <w:rsid w:val="00660462"/>
    <w:rsid w:val="0066092E"/>
    <w:rsid w:val="00660A76"/>
    <w:rsid w:val="00660BE6"/>
    <w:rsid w:val="006612A4"/>
    <w:rsid w:val="006613BB"/>
    <w:rsid w:val="0066188B"/>
    <w:rsid w:val="006624F2"/>
    <w:rsid w:val="00662671"/>
    <w:rsid w:val="00662813"/>
    <w:rsid w:val="00662A0B"/>
    <w:rsid w:val="00662A1F"/>
    <w:rsid w:val="00663012"/>
    <w:rsid w:val="0066369D"/>
    <w:rsid w:val="0066391E"/>
    <w:rsid w:val="00663F44"/>
    <w:rsid w:val="00663F5F"/>
    <w:rsid w:val="0066447A"/>
    <w:rsid w:val="006647FF"/>
    <w:rsid w:val="00664872"/>
    <w:rsid w:val="00664CA8"/>
    <w:rsid w:val="006651A5"/>
    <w:rsid w:val="0066534C"/>
    <w:rsid w:val="0066586D"/>
    <w:rsid w:val="00665A6E"/>
    <w:rsid w:val="00665C57"/>
    <w:rsid w:val="00665FB9"/>
    <w:rsid w:val="00666193"/>
    <w:rsid w:val="0066625F"/>
    <w:rsid w:val="00666A00"/>
    <w:rsid w:val="00666B20"/>
    <w:rsid w:val="00666D76"/>
    <w:rsid w:val="0066708A"/>
    <w:rsid w:val="0066779A"/>
    <w:rsid w:val="006677B7"/>
    <w:rsid w:val="00667980"/>
    <w:rsid w:val="00667CFE"/>
    <w:rsid w:val="00670397"/>
    <w:rsid w:val="00670414"/>
    <w:rsid w:val="006704B3"/>
    <w:rsid w:val="00670A49"/>
    <w:rsid w:val="00670A72"/>
    <w:rsid w:val="00670C02"/>
    <w:rsid w:val="00670E0B"/>
    <w:rsid w:val="00670E1B"/>
    <w:rsid w:val="006715D4"/>
    <w:rsid w:val="0067189F"/>
    <w:rsid w:val="00671B5E"/>
    <w:rsid w:val="00671BA8"/>
    <w:rsid w:val="00671C71"/>
    <w:rsid w:val="00671D87"/>
    <w:rsid w:val="00671DBE"/>
    <w:rsid w:val="00671DE9"/>
    <w:rsid w:val="00671FF7"/>
    <w:rsid w:val="00672727"/>
    <w:rsid w:val="006729D4"/>
    <w:rsid w:val="00672BEB"/>
    <w:rsid w:val="00672D46"/>
    <w:rsid w:val="00672FB4"/>
    <w:rsid w:val="006731DA"/>
    <w:rsid w:val="006732D6"/>
    <w:rsid w:val="006732EE"/>
    <w:rsid w:val="00673382"/>
    <w:rsid w:val="00673555"/>
    <w:rsid w:val="0067364C"/>
    <w:rsid w:val="006739B9"/>
    <w:rsid w:val="00673E74"/>
    <w:rsid w:val="0067404A"/>
    <w:rsid w:val="006740B1"/>
    <w:rsid w:val="006740C5"/>
    <w:rsid w:val="00674597"/>
    <w:rsid w:val="0067466F"/>
    <w:rsid w:val="006746E4"/>
    <w:rsid w:val="00674806"/>
    <w:rsid w:val="00674C12"/>
    <w:rsid w:val="00674C5A"/>
    <w:rsid w:val="00675310"/>
    <w:rsid w:val="006757CB"/>
    <w:rsid w:val="00675C51"/>
    <w:rsid w:val="00675D30"/>
    <w:rsid w:val="00675D5D"/>
    <w:rsid w:val="00675DE2"/>
    <w:rsid w:val="00675E43"/>
    <w:rsid w:val="006760DF"/>
    <w:rsid w:val="006761CA"/>
    <w:rsid w:val="00676297"/>
    <w:rsid w:val="006765AA"/>
    <w:rsid w:val="0067685E"/>
    <w:rsid w:val="00676986"/>
    <w:rsid w:val="00676C88"/>
    <w:rsid w:val="006770B4"/>
    <w:rsid w:val="00677A5F"/>
    <w:rsid w:val="00677A7E"/>
    <w:rsid w:val="0068039A"/>
    <w:rsid w:val="00680A6C"/>
    <w:rsid w:val="00680B8A"/>
    <w:rsid w:val="006812CF"/>
    <w:rsid w:val="006815EE"/>
    <w:rsid w:val="00681688"/>
    <w:rsid w:val="006816A0"/>
    <w:rsid w:val="0068176C"/>
    <w:rsid w:val="0068178A"/>
    <w:rsid w:val="00681A56"/>
    <w:rsid w:val="00681CBB"/>
    <w:rsid w:val="0068217F"/>
    <w:rsid w:val="006826A5"/>
    <w:rsid w:val="0068278D"/>
    <w:rsid w:val="0068282D"/>
    <w:rsid w:val="00682B59"/>
    <w:rsid w:val="00682D8A"/>
    <w:rsid w:val="00682FD3"/>
    <w:rsid w:val="00683083"/>
    <w:rsid w:val="00683420"/>
    <w:rsid w:val="00683590"/>
    <w:rsid w:val="0068362B"/>
    <w:rsid w:val="00683FAA"/>
    <w:rsid w:val="0068404B"/>
    <w:rsid w:val="006841A6"/>
    <w:rsid w:val="00684531"/>
    <w:rsid w:val="00684D82"/>
    <w:rsid w:val="00684E27"/>
    <w:rsid w:val="006851D0"/>
    <w:rsid w:val="00685484"/>
    <w:rsid w:val="006859E1"/>
    <w:rsid w:val="00685A7F"/>
    <w:rsid w:val="00686083"/>
    <w:rsid w:val="0068611B"/>
    <w:rsid w:val="006862BE"/>
    <w:rsid w:val="00686315"/>
    <w:rsid w:val="00686334"/>
    <w:rsid w:val="00686545"/>
    <w:rsid w:val="006865DE"/>
    <w:rsid w:val="006865F8"/>
    <w:rsid w:val="00686711"/>
    <w:rsid w:val="0068679A"/>
    <w:rsid w:val="00686917"/>
    <w:rsid w:val="00686BE1"/>
    <w:rsid w:val="00686D68"/>
    <w:rsid w:val="00686E6C"/>
    <w:rsid w:val="00687AC7"/>
    <w:rsid w:val="00687B85"/>
    <w:rsid w:val="00687BE4"/>
    <w:rsid w:val="00687D6B"/>
    <w:rsid w:val="00687D8C"/>
    <w:rsid w:val="00687EE2"/>
    <w:rsid w:val="00690234"/>
    <w:rsid w:val="00690A9F"/>
    <w:rsid w:val="006913CC"/>
    <w:rsid w:val="0069142C"/>
    <w:rsid w:val="006916E6"/>
    <w:rsid w:val="0069174E"/>
    <w:rsid w:val="00691761"/>
    <w:rsid w:val="00691BF9"/>
    <w:rsid w:val="00692105"/>
    <w:rsid w:val="006922F8"/>
    <w:rsid w:val="006924F2"/>
    <w:rsid w:val="00692573"/>
    <w:rsid w:val="00692C59"/>
    <w:rsid w:val="00692D57"/>
    <w:rsid w:val="00692F7D"/>
    <w:rsid w:val="006931E0"/>
    <w:rsid w:val="006932A7"/>
    <w:rsid w:val="006933AE"/>
    <w:rsid w:val="006933BF"/>
    <w:rsid w:val="006938A3"/>
    <w:rsid w:val="0069398C"/>
    <w:rsid w:val="00693BA0"/>
    <w:rsid w:val="0069404B"/>
    <w:rsid w:val="0069470B"/>
    <w:rsid w:val="0069471B"/>
    <w:rsid w:val="00694943"/>
    <w:rsid w:val="006951A8"/>
    <w:rsid w:val="00695471"/>
    <w:rsid w:val="00695A72"/>
    <w:rsid w:val="00695BBC"/>
    <w:rsid w:val="00695E7C"/>
    <w:rsid w:val="00696BE9"/>
    <w:rsid w:val="006970AF"/>
    <w:rsid w:val="006970B1"/>
    <w:rsid w:val="00697201"/>
    <w:rsid w:val="00697250"/>
    <w:rsid w:val="00697DB2"/>
    <w:rsid w:val="00697E0A"/>
    <w:rsid w:val="00697F60"/>
    <w:rsid w:val="006A0011"/>
    <w:rsid w:val="006A03C9"/>
    <w:rsid w:val="006A03E0"/>
    <w:rsid w:val="006A055B"/>
    <w:rsid w:val="006A0790"/>
    <w:rsid w:val="006A0B06"/>
    <w:rsid w:val="006A0D28"/>
    <w:rsid w:val="006A0EA9"/>
    <w:rsid w:val="006A11CC"/>
    <w:rsid w:val="006A1241"/>
    <w:rsid w:val="006A15F8"/>
    <w:rsid w:val="006A1727"/>
    <w:rsid w:val="006A187D"/>
    <w:rsid w:val="006A256E"/>
    <w:rsid w:val="006A26FE"/>
    <w:rsid w:val="006A2915"/>
    <w:rsid w:val="006A2C90"/>
    <w:rsid w:val="006A2D44"/>
    <w:rsid w:val="006A2F90"/>
    <w:rsid w:val="006A306E"/>
    <w:rsid w:val="006A3605"/>
    <w:rsid w:val="006A37E1"/>
    <w:rsid w:val="006A395B"/>
    <w:rsid w:val="006A3CA1"/>
    <w:rsid w:val="006A431C"/>
    <w:rsid w:val="006A4752"/>
    <w:rsid w:val="006A47E2"/>
    <w:rsid w:val="006A4952"/>
    <w:rsid w:val="006A4A53"/>
    <w:rsid w:val="006A4A6F"/>
    <w:rsid w:val="006A4AA0"/>
    <w:rsid w:val="006A4E83"/>
    <w:rsid w:val="006A50A8"/>
    <w:rsid w:val="006A50FF"/>
    <w:rsid w:val="006A5116"/>
    <w:rsid w:val="006A5586"/>
    <w:rsid w:val="006A57DF"/>
    <w:rsid w:val="006A5A4B"/>
    <w:rsid w:val="006A63E9"/>
    <w:rsid w:val="006A65A2"/>
    <w:rsid w:val="006A6731"/>
    <w:rsid w:val="006A677E"/>
    <w:rsid w:val="006A6C6F"/>
    <w:rsid w:val="006A6D0E"/>
    <w:rsid w:val="006A7120"/>
    <w:rsid w:val="006A7429"/>
    <w:rsid w:val="006A7DCC"/>
    <w:rsid w:val="006B01A6"/>
    <w:rsid w:val="006B0453"/>
    <w:rsid w:val="006B047C"/>
    <w:rsid w:val="006B0590"/>
    <w:rsid w:val="006B0871"/>
    <w:rsid w:val="006B0AA7"/>
    <w:rsid w:val="006B0AD7"/>
    <w:rsid w:val="006B0EFC"/>
    <w:rsid w:val="006B10F0"/>
    <w:rsid w:val="006B12BA"/>
    <w:rsid w:val="006B12FE"/>
    <w:rsid w:val="006B15ED"/>
    <w:rsid w:val="006B18BE"/>
    <w:rsid w:val="006B1B3F"/>
    <w:rsid w:val="006B1C49"/>
    <w:rsid w:val="006B2433"/>
    <w:rsid w:val="006B2669"/>
    <w:rsid w:val="006B26DA"/>
    <w:rsid w:val="006B2DDC"/>
    <w:rsid w:val="006B312C"/>
    <w:rsid w:val="006B3C08"/>
    <w:rsid w:val="006B4702"/>
    <w:rsid w:val="006B4CB1"/>
    <w:rsid w:val="006B505A"/>
    <w:rsid w:val="006B550B"/>
    <w:rsid w:val="006B5C54"/>
    <w:rsid w:val="006B5D36"/>
    <w:rsid w:val="006B5F12"/>
    <w:rsid w:val="006B5FEE"/>
    <w:rsid w:val="006B6280"/>
    <w:rsid w:val="006B69D2"/>
    <w:rsid w:val="006B6B7E"/>
    <w:rsid w:val="006B6BA4"/>
    <w:rsid w:val="006B6D85"/>
    <w:rsid w:val="006B7075"/>
    <w:rsid w:val="006B7589"/>
    <w:rsid w:val="006B7765"/>
    <w:rsid w:val="006B78A9"/>
    <w:rsid w:val="006B7FBD"/>
    <w:rsid w:val="006C063A"/>
    <w:rsid w:val="006C0680"/>
    <w:rsid w:val="006C0BD9"/>
    <w:rsid w:val="006C0DB4"/>
    <w:rsid w:val="006C0FC1"/>
    <w:rsid w:val="006C1452"/>
    <w:rsid w:val="006C14B6"/>
    <w:rsid w:val="006C1B0B"/>
    <w:rsid w:val="006C1D37"/>
    <w:rsid w:val="006C2412"/>
    <w:rsid w:val="006C25FE"/>
    <w:rsid w:val="006C2B02"/>
    <w:rsid w:val="006C2E0A"/>
    <w:rsid w:val="006C306D"/>
    <w:rsid w:val="006C3456"/>
    <w:rsid w:val="006C366A"/>
    <w:rsid w:val="006C36A7"/>
    <w:rsid w:val="006C37F7"/>
    <w:rsid w:val="006C3B77"/>
    <w:rsid w:val="006C3BEB"/>
    <w:rsid w:val="006C40AD"/>
    <w:rsid w:val="006C43EB"/>
    <w:rsid w:val="006C44C0"/>
    <w:rsid w:val="006C4946"/>
    <w:rsid w:val="006C4B37"/>
    <w:rsid w:val="006C4E33"/>
    <w:rsid w:val="006C51CE"/>
    <w:rsid w:val="006C52CA"/>
    <w:rsid w:val="006C548D"/>
    <w:rsid w:val="006C54EE"/>
    <w:rsid w:val="006C57CE"/>
    <w:rsid w:val="006C5820"/>
    <w:rsid w:val="006C5906"/>
    <w:rsid w:val="006C5A92"/>
    <w:rsid w:val="006C5C22"/>
    <w:rsid w:val="006C5F36"/>
    <w:rsid w:val="006C61F4"/>
    <w:rsid w:val="006C675F"/>
    <w:rsid w:val="006C6B73"/>
    <w:rsid w:val="006C6E59"/>
    <w:rsid w:val="006C7314"/>
    <w:rsid w:val="006C7CFB"/>
    <w:rsid w:val="006D001D"/>
    <w:rsid w:val="006D0411"/>
    <w:rsid w:val="006D05D7"/>
    <w:rsid w:val="006D0637"/>
    <w:rsid w:val="006D1687"/>
    <w:rsid w:val="006D188F"/>
    <w:rsid w:val="006D18DA"/>
    <w:rsid w:val="006D1A7A"/>
    <w:rsid w:val="006D1B34"/>
    <w:rsid w:val="006D26A3"/>
    <w:rsid w:val="006D2A05"/>
    <w:rsid w:val="006D2A69"/>
    <w:rsid w:val="006D2B9B"/>
    <w:rsid w:val="006D2C05"/>
    <w:rsid w:val="006D2E47"/>
    <w:rsid w:val="006D3153"/>
    <w:rsid w:val="006D3317"/>
    <w:rsid w:val="006D36FF"/>
    <w:rsid w:val="006D3EDD"/>
    <w:rsid w:val="006D4054"/>
    <w:rsid w:val="006D40FF"/>
    <w:rsid w:val="006D4D00"/>
    <w:rsid w:val="006D4DBC"/>
    <w:rsid w:val="006D4F0D"/>
    <w:rsid w:val="006D54E7"/>
    <w:rsid w:val="006D5AE3"/>
    <w:rsid w:val="006D5C5F"/>
    <w:rsid w:val="006D5C75"/>
    <w:rsid w:val="006D5DD8"/>
    <w:rsid w:val="006D5EB2"/>
    <w:rsid w:val="006D62E7"/>
    <w:rsid w:val="006D6D8D"/>
    <w:rsid w:val="006D6EA5"/>
    <w:rsid w:val="006D6F28"/>
    <w:rsid w:val="006D6F31"/>
    <w:rsid w:val="006D7100"/>
    <w:rsid w:val="006D7401"/>
    <w:rsid w:val="006D7731"/>
    <w:rsid w:val="006D7C88"/>
    <w:rsid w:val="006E029C"/>
    <w:rsid w:val="006E05A4"/>
    <w:rsid w:val="006E07C9"/>
    <w:rsid w:val="006E0A4F"/>
    <w:rsid w:val="006E0DF3"/>
    <w:rsid w:val="006E1088"/>
    <w:rsid w:val="006E1226"/>
    <w:rsid w:val="006E1442"/>
    <w:rsid w:val="006E16F2"/>
    <w:rsid w:val="006E1B14"/>
    <w:rsid w:val="006E1C41"/>
    <w:rsid w:val="006E1C46"/>
    <w:rsid w:val="006E1D10"/>
    <w:rsid w:val="006E1D9A"/>
    <w:rsid w:val="006E1E4A"/>
    <w:rsid w:val="006E21FE"/>
    <w:rsid w:val="006E2407"/>
    <w:rsid w:val="006E2850"/>
    <w:rsid w:val="006E29C5"/>
    <w:rsid w:val="006E2B25"/>
    <w:rsid w:val="006E2C84"/>
    <w:rsid w:val="006E2CF7"/>
    <w:rsid w:val="006E2EB4"/>
    <w:rsid w:val="006E3084"/>
    <w:rsid w:val="006E3351"/>
    <w:rsid w:val="006E3E3D"/>
    <w:rsid w:val="006E3E6E"/>
    <w:rsid w:val="006E4330"/>
    <w:rsid w:val="006E437C"/>
    <w:rsid w:val="006E4D88"/>
    <w:rsid w:val="006E5076"/>
    <w:rsid w:val="006E54EB"/>
    <w:rsid w:val="006E5A54"/>
    <w:rsid w:val="006E5F68"/>
    <w:rsid w:val="006E60A7"/>
    <w:rsid w:val="006E62AB"/>
    <w:rsid w:val="006E641D"/>
    <w:rsid w:val="006E6473"/>
    <w:rsid w:val="006E65CF"/>
    <w:rsid w:val="006E698B"/>
    <w:rsid w:val="006E6A44"/>
    <w:rsid w:val="006E6C2F"/>
    <w:rsid w:val="006E6E3F"/>
    <w:rsid w:val="006E6E6A"/>
    <w:rsid w:val="006E6FCE"/>
    <w:rsid w:val="006E6FE1"/>
    <w:rsid w:val="006E7231"/>
    <w:rsid w:val="006E7248"/>
    <w:rsid w:val="006E758F"/>
    <w:rsid w:val="006E75F9"/>
    <w:rsid w:val="006E7A2C"/>
    <w:rsid w:val="006F02A9"/>
    <w:rsid w:val="006F0461"/>
    <w:rsid w:val="006F0957"/>
    <w:rsid w:val="006F0991"/>
    <w:rsid w:val="006F0D08"/>
    <w:rsid w:val="006F1237"/>
    <w:rsid w:val="006F15C7"/>
    <w:rsid w:val="006F17E3"/>
    <w:rsid w:val="006F1804"/>
    <w:rsid w:val="006F191D"/>
    <w:rsid w:val="006F1C10"/>
    <w:rsid w:val="006F1DDE"/>
    <w:rsid w:val="006F1FFC"/>
    <w:rsid w:val="006F23DA"/>
    <w:rsid w:val="006F28BB"/>
    <w:rsid w:val="006F2D70"/>
    <w:rsid w:val="006F31A7"/>
    <w:rsid w:val="006F3294"/>
    <w:rsid w:val="006F33B6"/>
    <w:rsid w:val="006F3AF1"/>
    <w:rsid w:val="006F3CD3"/>
    <w:rsid w:val="006F3ED5"/>
    <w:rsid w:val="006F4296"/>
    <w:rsid w:val="006F4530"/>
    <w:rsid w:val="006F4802"/>
    <w:rsid w:val="006F48DA"/>
    <w:rsid w:val="006F4A9B"/>
    <w:rsid w:val="006F4AF0"/>
    <w:rsid w:val="006F4B43"/>
    <w:rsid w:val="006F4CAB"/>
    <w:rsid w:val="006F4DEC"/>
    <w:rsid w:val="006F4E3F"/>
    <w:rsid w:val="006F4EB4"/>
    <w:rsid w:val="006F5204"/>
    <w:rsid w:val="006F5433"/>
    <w:rsid w:val="006F54E9"/>
    <w:rsid w:val="006F556F"/>
    <w:rsid w:val="006F5B7B"/>
    <w:rsid w:val="006F5DE4"/>
    <w:rsid w:val="006F5EC9"/>
    <w:rsid w:val="006F5FBF"/>
    <w:rsid w:val="006F6209"/>
    <w:rsid w:val="006F6298"/>
    <w:rsid w:val="006F6652"/>
    <w:rsid w:val="006F6870"/>
    <w:rsid w:val="006F6BAC"/>
    <w:rsid w:val="006F6CB3"/>
    <w:rsid w:val="006F6E07"/>
    <w:rsid w:val="006F6E57"/>
    <w:rsid w:val="006F6FB6"/>
    <w:rsid w:val="006F702A"/>
    <w:rsid w:val="006F7230"/>
    <w:rsid w:val="006F7313"/>
    <w:rsid w:val="006F743D"/>
    <w:rsid w:val="006F7634"/>
    <w:rsid w:val="006F7923"/>
    <w:rsid w:val="006F7BB0"/>
    <w:rsid w:val="006F7BD5"/>
    <w:rsid w:val="00700299"/>
    <w:rsid w:val="0070030D"/>
    <w:rsid w:val="0070049D"/>
    <w:rsid w:val="00700783"/>
    <w:rsid w:val="007008F0"/>
    <w:rsid w:val="00701894"/>
    <w:rsid w:val="00701E55"/>
    <w:rsid w:val="007022B9"/>
    <w:rsid w:val="007022C8"/>
    <w:rsid w:val="00702322"/>
    <w:rsid w:val="00702BB7"/>
    <w:rsid w:val="007031BB"/>
    <w:rsid w:val="007033EA"/>
    <w:rsid w:val="0070357D"/>
    <w:rsid w:val="007037AD"/>
    <w:rsid w:val="007038F9"/>
    <w:rsid w:val="0070393B"/>
    <w:rsid w:val="00703B3E"/>
    <w:rsid w:val="00703F0B"/>
    <w:rsid w:val="0070418C"/>
    <w:rsid w:val="0070468F"/>
    <w:rsid w:val="007048A0"/>
    <w:rsid w:val="00704946"/>
    <w:rsid w:val="00704E79"/>
    <w:rsid w:val="00704F14"/>
    <w:rsid w:val="00704FBD"/>
    <w:rsid w:val="00705050"/>
    <w:rsid w:val="00705057"/>
    <w:rsid w:val="00705198"/>
    <w:rsid w:val="0070527A"/>
    <w:rsid w:val="00705507"/>
    <w:rsid w:val="00705986"/>
    <w:rsid w:val="00706058"/>
    <w:rsid w:val="007062D2"/>
    <w:rsid w:val="00706796"/>
    <w:rsid w:val="00706A65"/>
    <w:rsid w:val="00706E9E"/>
    <w:rsid w:val="00707020"/>
    <w:rsid w:val="007072E1"/>
    <w:rsid w:val="007073F4"/>
    <w:rsid w:val="007074CA"/>
    <w:rsid w:val="00707703"/>
    <w:rsid w:val="00707E5F"/>
    <w:rsid w:val="007101D5"/>
    <w:rsid w:val="0071050A"/>
    <w:rsid w:val="00710732"/>
    <w:rsid w:val="007109F3"/>
    <w:rsid w:val="00710DC1"/>
    <w:rsid w:val="00711173"/>
    <w:rsid w:val="00711CB4"/>
    <w:rsid w:val="00711EE8"/>
    <w:rsid w:val="00712452"/>
    <w:rsid w:val="00712501"/>
    <w:rsid w:val="00712942"/>
    <w:rsid w:val="007131EA"/>
    <w:rsid w:val="0071355D"/>
    <w:rsid w:val="007139DA"/>
    <w:rsid w:val="00713C66"/>
    <w:rsid w:val="00714287"/>
    <w:rsid w:val="00714340"/>
    <w:rsid w:val="00714390"/>
    <w:rsid w:val="00714780"/>
    <w:rsid w:val="007149B4"/>
    <w:rsid w:val="00714FDE"/>
    <w:rsid w:val="007150F9"/>
    <w:rsid w:val="00715C04"/>
    <w:rsid w:val="00715CE4"/>
    <w:rsid w:val="00716074"/>
    <w:rsid w:val="00716091"/>
    <w:rsid w:val="007161EE"/>
    <w:rsid w:val="007163B5"/>
    <w:rsid w:val="007163D6"/>
    <w:rsid w:val="007164F4"/>
    <w:rsid w:val="0071657C"/>
    <w:rsid w:val="007168F7"/>
    <w:rsid w:val="0071711A"/>
    <w:rsid w:val="007171C1"/>
    <w:rsid w:val="00717207"/>
    <w:rsid w:val="00717379"/>
    <w:rsid w:val="007173AF"/>
    <w:rsid w:val="00717809"/>
    <w:rsid w:val="00717864"/>
    <w:rsid w:val="00717A1D"/>
    <w:rsid w:val="00717E06"/>
    <w:rsid w:val="00717EAC"/>
    <w:rsid w:val="00717EFE"/>
    <w:rsid w:val="00717FD1"/>
    <w:rsid w:val="00717FF6"/>
    <w:rsid w:val="00720271"/>
    <w:rsid w:val="00720480"/>
    <w:rsid w:val="007204FE"/>
    <w:rsid w:val="00720A6E"/>
    <w:rsid w:val="00720D02"/>
    <w:rsid w:val="00720E80"/>
    <w:rsid w:val="00721263"/>
    <w:rsid w:val="00721539"/>
    <w:rsid w:val="00721BB8"/>
    <w:rsid w:val="00721CAD"/>
    <w:rsid w:val="00721ECC"/>
    <w:rsid w:val="00721F19"/>
    <w:rsid w:val="0072217B"/>
    <w:rsid w:val="0072227F"/>
    <w:rsid w:val="007229FD"/>
    <w:rsid w:val="00723197"/>
    <w:rsid w:val="007231DA"/>
    <w:rsid w:val="0072384C"/>
    <w:rsid w:val="00723A28"/>
    <w:rsid w:val="00723A4A"/>
    <w:rsid w:val="00724193"/>
    <w:rsid w:val="00724577"/>
    <w:rsid w:val="00724AD5"/>
    <w:rsid w:val="00724D5F"/>
    <w:rsid w:val="00724DAE"/>
    <w:rsid w:val="00724E74"/>
    <w:rsid w:val="0072511E"/>
    <w:rsid w:val="00725720"/>
    <w:rsid w:val="00725A77"/>
    <w:rsid w:val="00725BB2"/>
    <w:rsid w:val="007263F8"/>
    <w:rsid w:val="00726BAB"/>
    <w:rsid w:val="00726C2B"/>
    <w:rsid w:val="007271DD"/>
    <w:rsid w:val="007275C8"/>
    <w:rsid w:val="00727B0F"/>
    <w:rsid w:val="00727C82"/>
    <w:rsid w:val="00730564"/>
    <w:rsid w:val="007306C7"/>
    <w:rsid w:val="007306F3"/>
    <w:rsid w:val="00731071"/>
    <w:rsid w:val="00731B7C"/>
    <w:rsid w:val="00731EB0"/>
    <w:rsid w:val="00731EE2"/>
    <w:rsid w:val="00732393"/>
    <w:rsid w:val="00732886"/>
    <w:rsid w:val="0073289A"/>
    <w:rsid w:val="00732D68"/>
    <w:rsid w:val="0073301C"/>
    <w:rsid w:val="007330D8"/>
    <w:rsid w:val="007335E0"/>
    <w:rsid w:val="0073367A"/>
    <w:rsid w:val="007336C2"/>
    <w:rsid w:val="00733C10"/>
    <w:rsid w:val="0073430B"/>
    <w:rsid w:val="00734802"/>
    <w:rsid w:val="00734B8F"/>
    <w:rsid w:val="00734C1C"/>
    <w:rsid w:val="00734E1C"/>
    <w:rsid w:val="00734EE9"/>
    <w:rsid w:val="007350BB"/>
    <w:rsid w:val="007352A2"/>
    <w:rsid w:val="007353A3"/>
    <w:rsid w:val="00736208"/>
    <w:rsid w:val="007362D8"/>
    <w:rsid w:val="007363B8"/>
    <w:rsid w:val="007363C9"/>
    <w:rsid w:val="00736AA3"/>
    <w:rsid w:val="00736DAA"/>
    <w:rsid w:val="00737157"/>
    <w:rsid w:val="0073728F"/>
    <w:rsid w:val="007373AF"/>
    <w:rsid w:val="00737A2B"/>
    <w:rsid w:val="00737F05"/>
    <w:rsid w:val="00740189"/>
    <w:rsid w:val="007406A5"/>
    <w:rsid w:val="0074078D"/>
    <w:rsid w:val="00740796"/>
    <w:rsid w:val="00740D31"/>
    <w:rsid w:val="00740D91"/>
    <w:rsid w:val="00740DAB"/>
    <w:rsid w:val="0074168D"/>
    <w:rsid w:val="007417D7"/>
    <w:rsid w:val="00741836"/>
    <w:rsid w:val="00741928"/>
    <w:rsid w:val="00741D3D"/>
    <w:rsid w:val="00741F2A"/>
    <w:rsid w:val="00742283"/>
    <w:rsid w:val="00742304"/>
    <w:rsid w:val="00742440"/>
    <w:rsid w:val="00742492"/>
    <w:rsid w:val="007427AF"/>
    <w:rsid w:val="00742D1D"/>
    <w:rsid w:val="00742EAC"/>
    <w:rsid w:val="00742F6C"/>
    <w:rsid w:val="00743506"/>
    <w:rsid w:val="00743814"/>
    <w:rsid w:val="0074397E"/>
    <w:rsid w:val="007439CE"/>
    <w:rsid w:val="00743A45"/>
    <w:rsid w:val="00743B0B"/>
    <w:rsid w:val="00743B80"/>
    <w:rsid w:val="00743C63"/>
    <w:rsid w:val="00743D0A"/>
    <w:rsid w:val="00744048"/>
    <w:rsid w:val="00744274"/>
    <w:rsid w:val="00744750"/>
    <w:rsid w:val="007448F2"/>
    <w:rsid w:val="00745210"/>
    <w:rsid w:val="00745215"/>
    <w:rsid w:val="0074534B"/>
    <w:rsid w:val="00745569"/>
    <w:rsid w:val="007456A7"/>
    <w:rsid w:val="00745BEB"/>
    <w:rsid w:val="00745C33"/>
    <w:rsid w:val="00745CA9"/>
    <w:rsid w:val="00745CC0"/>
    <w:rsid w:val="0074639A"/>
    <w:rsid w:val="00746489"/>
    <w:rsid w:val="007464C3"/>
    <w:rsid w:val="00746727"/>
    <w:rsid w:val="00746A57"/>
    <w:rsid w:val="00746BD7"/>
    <w:rsid w:val="00746E13"/>
    <w:rsid w:val="00746EC7"/>
    <w:rsid w:val="0074746E"/>
    <w:rsid w:val="00747BCF"/>
    <w:rsid w:val="00750260"/>
    <w:rsid w:val="007502D8"/>
    <w:rsid w:val="007502E9"/>
    <w:rsid w:val="00750492"/>
    <w:rsid w:val="007506AF"/>
    <w:rsid w:val="00750BAB"/>
    <w:rsid w:val="00750E08"/>
    <w:rsid w:val="007513BA"/>
    <w:rsid w:val="007514F6"/>
    <w:rsid w:val="0075163D"/>
    <w:rsid w:val="007516BD"/>
    <w:rsid w:val="00751728"/>
    <w:rsid w:val="007519FD"/>
    <w:rsid w:val="00751A5A"/>
    <w:rsid w:val="00751B4F"/>
    <w:rsid w:val="00751E2C"/>
    <w:rsid w:val="00752245"/>
    <w:rsid w:val="0075259B"/>
    <w:rsid w:val="00752662"/>
    <w:rsid w:val="007529D6"/>
    <w:rsid w:val="00752A15"/>
    <w:rsid w:val="00752B56"/>
    <w:rsid w:val="0075315B"/>
    <w:rsid w:val="00753322"/>
    <w:rsid w:val="0075335C"/>
    <w:rsid w:val="00753404"/>
    <w:rsid w:val="0075370D"/>
    <w:rsid w:val="00753BE7"/>
    <w:rsid w:val="00753D76"/>
    <w:rsid w:val="00753E54"/>
    <w:rsid w:val="007541C7"/>
    <w:rsid w:val="00754246"/>
    <w:rsid w:val="007545C0"/>
    <w:rsid w:val="0075495B"/>
    <w:rsid w:val="00754E32"/>
    <w:rsid w:val="00754F93"/>
    <w:rsid w:val="007550CE"/>
    <w:rsid w:val="00755266"/>
    <w:rsid w:val="007552B1"/>
    <w:rsid w:val="007558EF"/>
    <w:rsid w:val="00755F82"/>
    <w:rsid w:val="00756196"/>
    <w:rsid w:val="007562A8"/>
    <w:rsid w:val="0075648C"/>
    <w:rsid w:val="00756982"/>
    <w:rsid w:val="00756B6B"/>
    <w:rsid w:val="00756C25"/>
    <w:rsid w:val="00756F77"/>
    <w:rsid w:val="00757159"/>
    <w:rsid w:val="0075726B"/>
    <w:rsid w:val="0075774B"/>
    <w:rsid w:val="00757896"/>
    <w:rsid w:val="007578A4"/>
    <w:rsid w:val="00757BEC"/>
    <w:rsid w:val="00757C87"/>
    <w:rsid w:val="00760BA3"/>
    <w:rsid w:val="007611A7"/>
    <w:rsid w:val="0076137A"/>
    <w:rsid w:val="00761548"/>
    <w:rsid w:val="007618C0"/>
    <w:rsid w:val="00761ABE"/>
    <w:rsid w:val="00761B73"/>
    <w:rsid w:val="00761C72"/>
    <w:rsid w:val="00761C97"/>
    <w:rsid w:val="00761F40"/>
    <w:rsid w:val="00761FD3"/>
    <w:rsid w:val="00762098"/>
    <w:rsid w:val="00762128"/>
    <w:rsid w:val="007629BF"/>
    <w:rsid w:val="00762C83"/>
    <w:rsid w:val="00762CAA"/>
    <w:rsid w:val="007631A6"/>
    <w:rsid w:val="007634E1"/>
    <w:rsid w:val="00763519"/>
    <w:rsid w:val="00763CA6"/>
    <w:rsid w:val="00763D07"/>
    <w:rsid w:val="00763D9F"/>
    <w:rsid w:val="00763E5A"/>
    <w:rsid w:val="00763FAD"/>
    <w:rsid w:val="00764A2E"/>
    <w:rsid w:val="00764AD0"/>
    <w:rsid w:val="00764E67"/>
    <w:rsid w:val="00764EF0"/>
    <w:rsid w:val="00765338"/>
    <w:rsid w:val="007655DB"/>
    <w:rsid w:val="007656A2"/>
    <w:rsid w:val="007658DA"/>
    <w:rsid w:val="00765A8D"/>
    <w:rsid w:val="00765E81"/>
    <w:rsid w:val="00765EA9"/>
    <w:rsid w:val="007663D9"/>
    <w:rsid w:val="0076677B"/>
    <w:rsid w:val="00766E65"/>
    <w:rsid w:val="007670E5"/>
    <w:rsid w:val="00767583"/>
    <w:rsid w:val="007678F7"/>
    <w:rsid w:val="00767B6A"/>
    <w:rsid w:val="00767C1C"/>
    <w:rsid w:val="00767DE7"/>
    <w:rsid w:val="00770455"/>
    <w:rsid w:val="007706AC"/>
    <w:rsid w:val="007706DB"/>
    <w:rsid w:val="00770729"/>
    <w:rsid w:val="00770784"/>
    <w:rsid w:val="007707FC"/>
    <w:rsid w:val="00770AF3"/>
    <w:rsid w:val="00770BB4"/>
    <w:rsid w:val="00771C55"/>
    <w:rsid w:val="00771D8F"/>
    <w:rsid w:val="00771D9B"/>
    <w:rsid w:val="00771F17"/>
    <w:rsid w:val="00772046"/>
    <w:rsid w:val="007721D3"/>
    <w:rsid w:val="007724E4"/>
    <w:rsid w:val="00772532"/>
    <w:rsid w:val="00772647"/>
    <w:rsid w:val="007728D3"/>
    <w:rsid w:val="00772937"/>
    <w:rsid w:val="00772D91"/>
    <w:rsid w:val="00772DD4"/>
    <w:rsid w:val="00772DEA"/>
    <w:rsid w:val="00773432"/>
    <w:rsid w:val="007735B0"/>
    <w:rsid w:val="00773A05"/>
    <w:rsid w:val="00773BE0"/>
    <w:rsid w:val="00773CAC"/>
    <w:rsid w:val="00773D35"/>
    <w:rsid w:val="00773DB5"/>
    <w:rsid w:val="007740F8"/>
    <w:rsid w:val="007746EA"/>
    <w:rsid w:val="007748A5"/>
    <w:rsid w:val="00774D97"/>
    <w:rsid w:val="00774F30"/>
    <w:rsid w:val="00775528"/>
    <w:rsid w:val="00775716"/>
    <w:rsid w:val="00775BA4"/>
    <w:rsid w:val="00775D86"/>
    <w:rsid w:val="007761DE"/>
    <w:rsid w:val="007762A0"/>
    <w:rsid w:val="007767EB"/>
    <w:rsid w:val="00776849"/>
    <w:rsid w:val="0077690D"/>
    <w:rsid w:val="00776AD2"/>
    <w:rsid w:val="00776C5D"/>
    <w:rsid w:val="00776D43"/>
    <w:rsid w:val="00776D4B"/>
    <w:rsid w:val="007772B8"/>
    <w:rsid w:val="00777482"/>
    <w:rsid w:val="0077750E"/>
    <w:rsid w:val="00777AB6"/>
    <w:rsid w:val="00777B94"/>
    <w:rsid w:val="00780903"/>
    <w:rsid w:val="00780F90"/>
    <w:rsid w:val="0078116B"/>
    <w:rsid w:val="0078185D"/>
    <w:rsid w:val="00782126"/>
    <w:rsid w:val="007827B2"/>
    <w:rsid w:val="00782A6C"/>
    <w:rsid w:val="00782FCA"/>
    <w:rsid w:val="00783188"/>
    <w:rsid w:val="0078338B"/>
    <w:rsid w:val="00783934"/>
    <w:rsid w:val="00783CC5"/>
    <w:rsid w:val="0078453F"/>
    <w:rsid w:val="00784578"/>
    <w:rsid w:val="00784A29"/>
    <w:rsid w:val="00784F62"/>
    <w:rsid w:val="00785290"/>
    <w:rsid w:val="00785613"/>
    <w:rsid w:val="007856A7"/>
    <w:rsid w:val="00785CA6"/>
    <w:rsid w:val="00785E9A"/>
    <w:rsid w:val="0078643B"/>
    <w:rsid w:val="007864E9"/>
    <w:rsid w:val="00786741"/>
    <w:rsid w:val="00786752"/>
    <w:rsid w:val="00786895"/>
    <w:rsid w:val="00786D77"/>
    <w:rsid w:val="00786D93"/>
    <w:rsid w:val="0078753D"/>
    <w:rsid w:val="00787718"/>
    <w:rsid w:val="0078797D"/>
    <w:rsid w:val="00787A76"/>
    <w:rsid w:val="00787B35"/>
    <w:rsid w:val="00787C06"/>
    <w:rsid w:val="00787F63"/>
    <w:rsid w:val="00790091"/>
    <w:rsid w:val="00790259"/>
    <w:rsid w:val="00790A56"/>
    <w:rsid w:val="00790E35"/>
    <w:rsid w:val="007911EC"/>
    <w:rsid w:val="007912BA"/>
    <w:rsid w:val="007912BB"/>
    <w:rsid w:val="0079175F"/>
    <w:rsid w:val="00791A48"/>
    <w:rsid w:val="00791DBC"/>
    <w:rsid w:val="00792809"/>
    <w:rsid w:val="00792835"/>
    <w:rsid w:val="00792AE4"/>
    <w:rsid w:val="00792F97"/>
    <w:rsid w:val="00793001"/>
    <w:rsid w:val="00793111"/>
    <w:rsid w:val="0079321F"/>
    <w:rsid w:val="007936CF"/>
    <w:rsid w:val="00793BB2"/>
    <w:rsid w:val="00793C9E"/>
    <w:rsid w:val="00793CFA"/>
    <w:rsid w:val="00794576"/>
    <w:rsid w:val="007948A3"/>
    <w:rsid w:val="007949E8"/>
    <w:rsid w:val="00794FA0"/>
    <w:rsid w:val="007952DD"/>
    <w:rsid w:val="00795528"/>
    <w:rsid w:val="00795851"/>
    <w:rsid w:val="007959A7"/>
    <w:rsid w:val="00795BC5"/>
    <w:rsid w:val="00795DC8"/>
    <w:rsid w:val="00796576"/>
    <w:rsid w:val="0079674F"/>
    <w:rsid w:val="00796789"/>
    <w:rsid w:val="00796921"/>
    <w:rsid w:val="0079731E"/>
    <w:rsid w:val="007975C4"/>
    <w:rsid w:val="00797818"/>
    <w:rsid w:val="007978A1"/>
    <w:rsid w:val="007978B8"/>
    <w:rsid w:val="007A00A8"/>
    <w:rsid w:val="007A02BB"/>
    <w:rsid w:val="007A0715"/>
    <w:rsid w:val="007A0B0E"/>
    <w:rsid w:val="007A14E1"/>
    <w:rsid w:val="007A1873"/>
    <w:rsid w:val="007A1946"/>
    <w:rsid w:val="007A1F17"/>
    <w:rsid w:val="007A1FDD"/>
    <w:rsid w:val="007A21C7"/>
    <w:rsid w:val="007A267B"/>
    <w:rsid w:val="007A27F5"/>
    <w:rsid w:val="007A2D6E"/>
    <w:rsid w:val="007A2E3F"/>
    <w:rsid w:val="007A2E8A"/>
    <w:rsid w:val="007A2F94"/>
    <w:rsid w:val="007A32D6"/>
    <w:rsid w:val="007A356B"/>
    <w:rsid w:val="007A41E9"/>
    <w:rsid w:val="007A43C1"/>
    <w:rsid w:val="007A470D"/>
    <w:rsid w:val="007A4757"/>
    <w:rsid w:val="007A4818"/>
    <w:rsid w:val="007A4A5B"/>
    <w:rsid w:val="007A4CB8"/>
    <w:rsid w:val="007A4D1E"/>
    <w:rsid w:val="007A4E47"/>
    <w:rsid w:val="007A5268"/>
    <w:rsid w:val="007A6616"/>
    <w:rsid w:val="007A6ABA"/>
    <w:rsid w:val="007A6AFE"/>
    <w:rsid w:val="007A6B23"/>
    <w:rsid w:val="007A6D7C"/>
    <w:rsid w:val="007A6E78"/>
    <w:rsid w:val="007A6F24"/>
    <w:rsid w:val="007A6FE9"/>
    <w:rsid w:val="007A703E"/>
    <w:rsid w:val="007A763D"/>
    <w:rsid w:val="007A76DD"/>
    <w:rsid w:val="007A77B4"/>
    <w:rsid w:val="007A77DA"/>
    <w:rsid w:val="007A7BCB"/>
    <w:rsid w:val="007A7D36"/>
    <w:rsid w:val="007B0158"/>
    <w:rsid w:val="007B0242"/>
    <w:rsid w:val="007B05CA"/>
    <w:rsid w:val="007B09D1"/>
    <w:rsid w:val="007B0D70"/>
    <w:rsid w:val="007B0D8C"/>
    <w:rsid w:val="007B0FA4"/>
    <w:rsid w:val="007B1006"/>
    <w:rsid w:val="007B1118"/>
    <w:rsid w:val="007B165B"/>
    <w:rsid w:val="007B17E0"/>
    <w:rsid w:val="007B19B3"/>
    <w:rsid w:val="007B1C3D"/>
    <w:rsid w:val="007B1C6B"/>
    <w:rsid w:val="007B23D8"/>
    <w:rsid w:val="007B2445"/>
    <w:rsid w:val="007B25CD"/>
    <w:rsid w:val="007B25D5"/>
    <w:rsid w:val="007B2840"/>
    <w:rsid w:val="007B2AD9"/>
    <w:rsid w:val="007B2EFF"/>
    <w:rsid w:val="007B301B"/>
    <w:rsid w:val="007B30CB"/>
    <w:rsid w:val="007B31A1"/>
    <w:rsid w:val="007B3CE7"/>
    <w:rsid w:val="007B3EAB"/>
    <w:rsid w:val="007B409A"/>
    <w:rsid w:val="007B419B"/>
    <w:rsid w:val="007B4387"/>
    <w:rsid w:val="007B484D"/>
    <w:rsid w:val="007B4CCB"/>
    <w:rsid w:val="007B4E41"/>
    <w:rsid w:val="007B4F6B"/>
    <w:rsid w:val="007B5099"/>
    <w:rsid w:val="007B55F3"/>
    <w:rsid w:val="007B5635"/>
    <w:rsid w:val="007B5ADA"/>
    <w:rsid w:val="007B5D71"/>
    <w:rsid w:val="007B610A"/>
    <w:rsid w:val="007B6984"/>
    <w:rsid w:val="007B6A7B"/>
    <w:rsid w:val="007B6B7A"/>
    <w:rsid w:val="007B6E16"/>
    <w:rsid w:val="007B7884"/>
    <w:rsid w:val="007B7913"/>
    <w:rsid w:val="007C02BF"/>
    <w:rsid w:val="007C071C"/>
    <w:rsid w:val="007C077D"/>
    <w:rsid w:val="007C086C"/>
    <w:rsid w:val="007C08FE"/>
    <w:rsid w:val="007C09EE"/>
    <w:rsid w:val="007C0C06"/>
    <w:rsid w:val="007C0CBE"/>
    <w:rsid w:val="007C129A"/>
    <w:rsid w:val="007C12EE"/>
    <w:rsid w:val="007C158F"/>
    <w:rsid w:val="007C1AC4"/>
    <w:rsid w:val="007C1E6B"/>
    <w:rsid w:val="007C21C3"/>
    <w:rsid w:val="007C23A3"/>
    <w:rsid w:val="007C2CC7"/>
    <w:rsid w:val="007C2E8E"/>
    <w:rsid w:val="007C3D25"/>
    <w:rsid w:val="007C40CC"/>
    <w:rsid w:val="007C417B"/>
    <w:rsid w:val="007C427F"/>
    <w:rsid w:val="007C4290"/>
    <w:rsid w:val="007C46F4"/>
    <w:rsid w:val="007C4E2E"/>
    <w:rsid w:val="007C5329"/>
    <w:rsid w:val="007C533E"/>
    <w:rsid w:val="007C5679"/>
    <w:rsid w:val="007C5B31"/>
    <w:rsid w:val="007C5CE7"/>
    <w:rsid w:val="007C624C"/>
    <w:rsid w:val="007C62A5"/>
    <w:rsid w:val="007C6494"/>
    <w:rsid w:val="007C69BD"/>
    <w:rsid w:val="007C6ACA"/>
    <w:rsid w:val="007C6BB9"/>
    <w:rsid w:val="007C6C53"/>
    <w:rsid w:val="007C75B2"/>
    <w:rsid w:val="007C7CC5"/>
    <w:rsid w:val="007C7E84"/>
    <w:rsid w:val="007D0098"/>
    <w:rsid w:val="007D00D2"/>
    <w:rsid w:val="007D0750"/>
    <w:rsid w:val="007D0934"/>
    <w:rsid w:val="007D0945"/>
    <w:rsid w:val="007D1028"/>
    <w:rsid w:val="007D108A"/>
    <w:rsid w:val="007D110F"/>
    <w:rsid w:val="007D12E7"/>
    <w:rsid w:val="007D169E"/>
    <w:rsid w:val="007D1BEA"/>
    <w:rsid w:val="007D1DA7"/>
    <w:rsid w:val="007D1E51"/>
    <w:rsid w:val="007D265F"/>
    <w:rsid w:val="007D2AF1"/>
    <w:rsid w:val="007D2C30"/>
    <w:rsid w:val="007D2DBD"/>
    <w:rsid w:val="007D2E8E"/>
    <w:rsid w:val="007D326E"/>
    <w:rsid w:val="007D3513"/>
    <w:rsid w:val="007D363C"/>
    <w:rsid w:val="007D3CDB"/>
    <w:rsid w:val="007D3E5E"/>
    <w:rsid w:val="007D3ED0"/>
    <w:rsid w:val="007D44A3"/>
    <w:rsid w:val="007D46C2"/>
    <w:rsid w:val="007D525A"/>
    <w:rsid w:val="007D531F"/>
    <w:rsid w:val="007D54C4"/>
    <w:rsid w:val="007D5762"/>
    <w:rsid w:val="007D590D"/>
    <w:rsid w:val="007D60D5"/>
    <w:rsid w:val="007D620E"/>
    <w:rsid w:val="007D63DA"/>
    <w:rsid w:val="007D6536"/>
    <w:rsid w:val="007D672F"/>
    <w:rsid w:val="007D6B6A"/>
    <w:rsid w:val="007D6D97"/>
    <w:rsid w:val="007D7152"/>
    <w:rsid w:val="007D752B"/>
    <w:rsid w:val="007D7763"/>
    <w:rsid w:val="007D7847"/>
    <w:rsid w:val="007D7EC5"/>
    <w:rsid w:val="007D7EDA"/>
    <w:rsid w:val="007D7EFE"/>
    <w:rsid w:val="007E0965"/>
    <w:rsid w:val="007E0C91"/>
    <w:rsid w:val="007E14E0"/>
    <w:rsid w:val="007E1B1D"/>
    <w:rsid w:val="007E2264"/>
    <w:rsid w:val="007E23CE"/>
    <w:rsid w:val="007E2F78"/>
    <w:rsid w:val="007E3661"/>
    <w:rsid w:val="007E3C51"/>
    <w:rsid w:val="007E3D4C"/>
    <w:rsid w:val="007E3D4E"/>
    <w:rsid w:val="007E4003"/>
    <w:rsid w:val="007E419C"/>
    <w:rsid w:val="007E45EF"/>
    <w:rsid w:val="007E45F7"/>
    <w:rsid w:val="007E4687"/>
    <w:rsid w:val="007E46FC"/>
    <w:rsid w:val="007E49D1"/>
    <w:rsid w:val="007E5357"/>
    <w:rsid w:val="007E54B3"/>
    <w:rsid w:val="007E55C5"/>
    <w:rsid w:val="007E5E15"/>
    <w:rsid w:val="007E6341"/>
    <w:rsid w:val="007E6429"/>
    <w:rsid w:val="007E671A"/>
    <w:rsid w:val="007E6AB1"/>
    <w:rsid w:val="007E72C9"/>
    <w:rsid w:val="007E7BA6"/>
    <w:rsid w:val="007F0012"/>
    <w:rsid w:val="007F047F"/>
    <w:rsid w:val="007F05AB"/>
    <w:rsid w:val="007F0686"/>
    <w:rsid w:val="007F0911"/>
    <w:rsid w:val="007F0A09"/>
    <w:rsid w:val="007F0E57"/>
    <w:rsid w:val="007F128C"/>
    <w:rsid w:val="007F137A"/>
    <w:rsid w:val="007F1394"/>
    <w:rsid w:val="007F1D81"/>
    <w:rsid w:val="007F2322"/>
    <w:rsid w:val="007F2353"/>
    <w:rsid w:val="007F2405"/>
    <w:rsid w:val="007F30B8"/>
    <w:rsid w:val="007F36DE"/>
    <w:rsid w:val="007F3902"/>
    <w:rsid w:val="007F3954"/>
    <w:rsid w:val="007F407A"/>
    <w:rsid w:val="007F44A3"/>
    <w:rsid w:val="007F4B81"/>
    <w:rsid w:val="007F4DF5"/>
    <w:rsid w:val="007F5004"/>
    <w:rsid w:val="007F5240"/>
    <w:rsid w:val="007F52B0"/>
    <w:rsid w:val="007F56A5"/>
    <w:rsid w:val="007F582F"/>
    <w:rsid w:val="007F5D7E"/>
    <w:rsid w:val="007F5F04"/>
    <w:rsid w:val="007F60E5"/>
    <w:rsid w:val="007F61EF"/>
    <w:rsid w:val="007F6346"/>
    <w:rsid w:val="007F664A"/>
    <w:rsid w:val="007F6B92"/>
    <w:rsid w:val="007F6C5E"/>
    <w:rsid w:val="007F6D2F"/>
    <w:rsid w:val="007F6D5D"/>
    <w:rsid w:val="007F768F"/>
    <w:rsid w:val="007F7F66"/>
    <w:rsid w:val="008000EC"/>
    <w:rsid w:val="008002E6"/>
    <w:rsid w:val="008005D3"/>
    <w:rsid w:val="00800B4D"/>
    <w:rsid w:val="00800BDB"/>
    <w:rsid w:val="00800C0A"/>
    <w:rsid w:val="00800CD2"/>
    <w:rsid w:val="00800EDA"/>
    <w:rsid w:val="00801058"/>
    <w:rsid w:val="0080188F"/>
    <w:rsid w:val="00801ECF"/>
    <w:rsid w:val="0080230F"/>
    <w:rsid w:val="008027C0"/>
    <w:rsid w:val="00802CC2"/>
    <w:rsid w:val="00802D21"/>
    <w:rsid w:val="0080315F"/>
    <w:rsid w:val="008035AF"/>
    <w:rsid w:val="00803760"/>
    <w:rsid w:val="00803951"/>
    <w:rsid w:val="008039A5"/>
    <w:rsid w:val="00804242"/>
    <w:rsid w:val="008047D2"/>
    <w:rsid w:val="008049BE"/>
    <w:rsid w:val="00804AA5"/>
    <w:rsid w:val="00804C20"/>
    <w:rsid w:val="00805088"/>
    <w:rsid w:val="00805DA0"/>
    <w:rsid w:val="008062B8"/>
    <w:rsid w:val="008062FC"/>
    <w:rsid w:val="008064B9"/>
    <w:rsid w:val="0080673E"/>
    <w:rsid w:val="00806BC4"/>
    <w:rsid w:val="00807067"/>
    <w:rsid w:val="0080706F"/>
    <w:rsid w:val="00807419"/>
    <w:rsid w:val="0080750D"/>
    <w:rsid w:val="008077FE"/>
    <w:rsid w:val="00807816"/>
    <w:rsid w:val="00807872"/>
    <w:rsid w:val="008079A7"/>
    <w:rsid w:val="00807B2F"/>
    <w:rsid w:val="008103CD"/>
    <w:rsid w:val="008105C3"/>
    <w:rsid w:val="0081072F"/>
    <w:rsid w:val="00810A3C"/>
    <w:rsid w:val="00810B48"/>
    <w:rsid w:val="00811334"/>
    <w:rsid w:val="0081197D"/>
    <w:rsid w:val="00811A8C"/>
    <w:rsid w:val="00811C26"/>
    <w:rsid w:val="00811EA8"/>
    <w:rsid w:val="00811F35"/>
    <w:rsid w:val="00811F74"/>
    <w:rsid w:val="00812575"/>
    <w:rsid w:val="008129F4"/>
    <w:rsid w:val="00812F7D"/>
    <w:rsid w:val="00813147"/>
    <w:rsid w:val="00813451"/>
    <w:rsid w:val="00813632"/>
    <w:rsid w:val="00813BC5"/>
    <w:rsid w:val="00813C53"/>
    <w:rsid w:val="00813E67"/>
    <w:rsid w:val="00813EBA"/>
    <w:rsid w:val="00813ED3"/>
    <w:rsid w:val="00814005"/>
    <w:rsid w:val="008140AD"/>
    <w:rsid w:val="00814B44"/>
    <w:rsid w:val="00814E67"/>
    <w:rsid w:val="00815159"/>
    <w:rsid w:val="00815229"/>
    <w:rsid w:val="0081532A"/>
    <w:rsid w:val="008153B1"/>
    <w:rsid w:val="0081583E"/>
    <w:rsid w:val="008159C4"/>
    <w:rsid w:val="00815B4A"/>
    <w:rsid w:val="00815D0F"/>
    <w:rsid w:val="00815DBF"/>
    <w:rsid w:val="008161EF"/>
    <w:rsid w:val="0081629A"/>
    <w:rsid w:val="0081641F"/>
    <w:rsid w:val="00817049"/>
    <w:rsid w:val="008171EF"/>
    <w:rsid w:val="008174DC"/>
    <w:rsid w:val="00817848"/>
    <w:rsid w:val="00817D6C"/>
    <w:rsid w:val="00817D82"/>
    <w:rsid w:val="00817EB5"/>
    <w:rsid w:val="00817F68"/>
    <w:rsid w:val="00820073"/>
    <w:rsid w:val="008201C2"/>
    <w:rsid w:val="00820713"/>
    <w:rsid w:val="00820A71"/>
    <w:rsid w:val="00820CAD"/>
    <w:rsid w:val="00820D3A"/>
    <w:rsid w:val="008213A9"/>
    <w:rsid w:val="008214B3"/>
    <w:rsid w:val="00821AC6"/>
    <w:rsid w:val="00821E19"/>
    <w:rsid w:val="00821E50"/>
    <w:rsid w:val="008222D0"/>
    <w:rsid w:val="008223FE"/>
    <w:rsid w:val="00822523"/>
    <w:rsid w:val="00822B13"/>
    <w:rsid w:val="008230F8"/>
    <w:rsid w:val="00823324"/>
    <w:rsid w:val="0082334D"/>
    <w:rsid w:val="0082342A"/>
    <w:rsid w:val="0082343E"/>
    <w:rsid w:val="00823499"/>
    <w:rsid w:val="00823556"/>
    <w:rsid w:val="008235C2"/>
    <w:rsid w:val="00823A58"/>
    <w:rsid w:val="00823C3E"/>
    <w:rsid w:val="00823D0C"/>
    <w:rsid w:val="00823D42"/>
    <w:rsid w:val="00823EB9"/>
    <w:rsid w:val="0082462E"/>
    <w:rsid w:val="008248AE"/>
    <w:rsid w:val="008248C5"/>
    <w:rsid w:val="0082497B"/>
    <w:rsid w:val="00825123"/>
    <w:rsid w:val="008256BA"/>
    <w:rsid w:val="00825803"/>
    <w:rsid w:val="00825882"/>
    <w:rsid w:val="008259B2"/>
    <w:rsid w:val="008259E9"/>
    <w:rsid w:val="00825B99"/>
    <w:rsid w:val="0082601A"/>
    <w:rsid w:val="0082663A"/>
    <w:rsid w:val="00827041"/>
    <w:rsid w:val="0083001E"/>
    <w:rsid w:val="00830064"/>
    <w:rsid w:val="00830341"/>
    <w:rsid w:val="00830ADE"/>
    <w:rsid w:val="00830BC5"/>
    <w:rsid w:val="00830D6C"/>
    <w:rsid w:val="008312F1"/>
    <w:rsid w:val="00831568"/>
    <w:rsid w:val="0083167A"/>
    <w:rsid w:val="00831A73"/>
    <w:rsid w:val="00831F00"/>
    <w:rsid w:val="008320EA"/>
    <w:rsid w:val="008322F9"/>
    <w:rsid w:val="008326BF"/>
    <w:rsid w:val="008327E5"/>
    <w:rsid w:val="00832813"/>
    <w:rsid w:val="0083318E"/>
    <w:rsid w:val="00833298"/>
    <w:rsid w:val="0083350F"/>
    <w:rsid w:val="0083366B"/>
    <w:rsid w:val="008338CE"/>
    <w:rsid w:val="0083392C"/>
    <w:rsid w:val="0083431A"/>
    <w:rsid w:val="0083447F"/>
    <w:rsid w:val="008347A4"/>
    <w:rsid w:val="00834994"/>
    <w:rsid w:val="00834BB5"/>
    <w:rsid w:val="00834D4C"/>
    <w:rsid w:val="00834E50"/>
    <w:rsid w:val="00834F3B"/>
    <w:rsid w:val="008352C4"/>
    <w:rsid w:val="00835AFE"/>
    <w:rsid w:val="00835C25"/>
    <w:rsid w:val="00835DE0"/>
    <w:rsid w:val="00835EAF"/>
    <w:rsid w:val="00836B0B"/>
    <w:rsid w:val="0083717D"/>
    <w:rsid w:val="008371D0"/>
    <w:rsid w:val="00837548"/>
    <w:rsid w:val="00837E49"/>
    <w:rsid w:val="008400CD"/>
    <w:rsid w:val="00840327"/>
    <w:rsid w:val="00840585"/>
    <w:rsid w:val="00840741"/>
    <w:rsid w:val="008408E7"/>
    <w:rsid w:val="00840B75"/>
    <w:rsid w:val="00840CB3"/>
    <w:rsid w:val="00840DE7"/>
    <w:rsid w:val="0084196A"/>
    <w:rsid w:val="00842806"/>
    <w:rsid w:val="00842B55"/>
    <w:rsid w:val="00842C97"/>
    <w:rsid w:val="00842EF7"/>
    <w:rsid w:val="00842EF8"/>
    <w:rsid w:val="00843011"/>
    <w:rsid w:val="0084304F"/>
    <w:rsid w:val="00843064"/>
    <w:rsid w:val="008434F3"/>
    <w:rsid w:val="008435AB"/>
    <w:rsid w:val="008439B0"/>
    <w:rsid w:val="00843C7A"/>
    <w:rsid w:val="00843C7E"/>
    <w:rsid w:val="00843E21"/>
    <w:rsid w:val="00843E71"/>
    <w:rsid w:val="00843FE2"/>
    <w:rsid w:val="008444AC"/>
    <w:rsid w:val="00845210"/>
    <w:rsid w:val="00845256"/>
    <w:rsid w:val="00845329"/>
    <w:rsid w:val="008456FD"/>
    <w:rsid w:val="00845E7C"/>
    <w:rsid w:val="00845FA5"/>
    <w:rsid w:val="00846104"/>
    <w:rsid w:val="00846382"/>
    <w:rsid w:val="00846891"/>
    <w:rsid w:val="0084694A"/>
    <w:rsid w:val="00846BCB"/>
    <w:rsid w:val="00846C2B"/>
    <w:rsid w:val="00846DA3"/>
    <w:rsid w:val="00846FDE"/>
    <w:rsid w:val="008472D7"/>
    <w:rsid w:val="008472E1"/>
    <w:rsid w:val="00847461"/>
    <w:rsid w:val="00847BCA"/>
    <w:rsid w:val="00850058"/>
    <w:rsid w:val="0085042F"/>
    <w:rsid w:val="008506E8"/>
    <w:rsid w:val="00850A67"/>
    <w:rsid w:val="00850C6E"/>
    <w:rsid w:val="00850CEF"/>
    <w:rsid w:val="00850D08"/>
    <w:rsid w:val="008511EA"/>
    <w:rsid w:val="008512F7"/>
    <w:rsid w:val="0085143A"/>
    <w:rsid w:val="00851792"/>
    <w:rsid w:val="00851872"/>
    <w:rsid w:val="00852738"/>
    <w:rsid w:val="008528CF"/>
    <w:rsid w:val="00852A1A"/>
    <w:rsid w:val="00853083"/>
    <w:rsid w:val="008530CD"/>
    <w:rsid w:val="00853145"/>
    <w:rsid w:val="008531F7"/>
    <w:rsid w:val="008535A2"/>
    <w:rsid w:val="00853803"/>
    <w:rsid w:val="00853D19"/>
    <w:rsid w:val="00853E0C"/>
    <w:rsid w:val="00854267"/>
    <w:rsid w:val="0085439E"/>
    <w:rsid w:val="0085440A"/>
    <w:rsid w:val="00854599"/>
    <w:rsid w:val="008545F3"/>
    <w:rsid w:val="00854AC2"/>
    <w:rsid w:val="00854B1E"/>
    <w:rsid w:val="00854B4A"/>
    <w:rsid w:val="008552D2"/>
    <w:rsid w:val="0085573B"/>
    <w:rsid w:val="00855754"/>
    <w:rsid w:val="00855855"/>
    <w:rsid w:val="008558B5"/>
    <w:rsid w:val="0085598B"/>
    <w:rsid w:val="00855BE1"/>
    <w:rsid w:val="00855CA7"/>
    <w:rsid w:val="00856123"/>
    <w:rsid w:val="008561FD"/>
    <w:rsid w:val="008565C1"/>
    <w:rsid w:val="00856665"/>
    <w:rsid w:val="0085682F"/>
    <w:rsid w:val="00856D2D"/>
    <w:rsid w:val="00857153"/>
    <w:rsid w:val="00857773"/>
    <w:rsid w:val="008577A7"/>
    <w:rsid w:val="00857ABF"/>
    <w:rsid w:val="00857B18"/>
    <w:rsid w:val="00857C0A"/>
    <w:rsid w:val="00857EB2"/>
    <w:rsid w:val="00860962"/>
    <w:rsid w:val="00860BF8"/>
    <w:rsid w:val="00860CC9"/>
    <w:rsid w:val="00860DF9"/>
    <w:rsid w:val="00861087"/>
    <w:rsid w:val="00861ACB"/>
    <w:rsid w:val="00861B0F"/>
    <w:rsid w:val="00861D3D"/>
    <w:rsid w:val="0086234F"/>
    <w:rsid w:val="0086244B"/>
    <w:rsid w:val="0086250B"/>
    <w:rsid w:val="008625B4"/>
    <w:rsid w:val="008629CB"/>
    <w:rsid w:val="008629EF"/>
    <w:rsid w:val="00862A8C"/>
    <w:rsid w:val="00862ACE"/>
    <w:rsid w:val="00862BD2"/>
    <w:rsid w:val="00862EEC"/>
    <w:rsid w:val="00863126"/>
    <w:rsid w:val="00863588"/>
    <w:rsid w:val="00863A09"/>
    <w:rsid w:val="00863EEE"/>
    <w:rsid w:val="00863F71"/>
    <w:rsid w:val="00864058"/>
    <w:rsid w:val="0086445D"/>
    <w:rsid w:val="0086462E"/>
    <w:rsid w:val="0086479D"/>
    <w:rsid w:val="008647EF"/>
    <w:rsid w:val="00864848"/>
    <w:rsid w:val="00864AD8"/>
    <w:rsid w:val="00864D88"/>
    <w:rsid w:val="00864ECC"/>
    <w:rsid w:val="0086654F"/>
    <w:rsid w:val="008667DB"/>
    <w:rsid w:val="00866989"/>
    <w:rsid w:val="00866A57"/>
    <w:rsid w:val="00866BE1"/>
    <w:rsid w:val="00866FEA"/>
    <w:rsid w:val="00867017"/>
    <w:rsid w:val="0086767E"/>
    <w:rsid w:val="00867CF3"/>
    <w:rsid w:val="00867DF7"/>
    <w:rsid w:val="008700FC"/>
    <w:rsid w:val="00870203"/>
    <w:rsid w:val="0087069F"/>
    <w:rsid w:val="0087095B"/>
    <w:rsid w:val="00870CD9"/>
    <w:rsid w:val="00870D38"/>
    <w:rsid w:val="00870D5A"/>
    <w:rsid w:val="00870DC7"/>
    <w:rsid w:val="00870EA5"/>
    <w:rsid w:val="00871383"/>
    <w:rsid w:val="00871B38"/>
    <w:rsid w:val="00871B58"/>
    <w:rsid w:val="00871C3F"/>
    <w:rsid w:val="00871D01"/>
    <w:rsid w:val="00871EEE"/>
    <w:rsid w:val="008720A8"/>
    <w:rsid w:val="00872132"/>
    <w:rsid w:val="0087231A"/>
    <w:rsid w:val="0087231D"/>
    <w:rsid w:val="00872456"/>
    <w:rsid w:val="00872C21"/>
    <w:rsid w:val="00872E40"/>
    <w:rsid w:val="00872E69"/>
    <w:rsid w:val="00873042"/>
    <w:rsid w:val="008734D6"/>
    <w:rsid w:val="008735D2"/>
    <w:rsid w:val="0087365F"/>
    <w:rsid w:val="008739EA"/>
    <w:rsid w:val="00873DFE"/>
    <w:rsid w:val="00874269"/>
    <w:rsid w:val="0087430F"/>
    <w:rsid w:val="008743E1"/>
    <w:rsid w:val="008743E7"/>
    <w:rsid w:val="00874618"/>
    <w:rsid w:val="00874649"/>
    <w:rsid w:val="00874A36"/>
    <w:rsid w:val="00874D64"/>
    <w:rsid w:val="00874F49"/>
    <w:rsid w:val="00875E00"/>
    <w:rsid w:val="008762EF"/>
    <w:rsid w:val="00876E04"/>
    <w:rsid w:val="00876F87"/>
    <w:rsid w:val="00877232"/>
    <w:rsid w:val="00877665"/>
    <w:rsid w:val="00880060"/>
    <w:rsid w:val="00880085"/>
    <w:rsid w:val="008800F0"/>
    <w:rsid w:val="0088061A"/>
    <w:rsid w:val="008806DF"/>
    <w:rsid w:val="00880707"/>
    <w:rsid w:val="008807EE"/>
    <w:rsid w:val="008808B3"/>
    <w:rsid w:val="00880D0F"/>
    <w:rsid w:val="00881081"/>
    <w:rsid w:val="008816B7"/>
    <w:rsid w:val="00881BAD"/>
    <w:rsid w:val="00881EDB"/>
    <w:rsid w:val="00881F24"/>
    <w:rsid w:val="00881F93"/>
    <w:rsid w:val="00882412"/>
    <w:rsid w:val="00882586"/>
    <w:rsid w:val="00882AD2"/>
    <w:rsid w:val="00882BA2"/>
    <w:rsid w:val="00882F98"/>
    <w:rsid w:val="00883059"/>
    <w:rsid w:val="0088313E"/>
    <w:rsid w:val="00883376"/>
    <w:rsid w:val="008833BE"/>
    <w:rsid w:val="008835F2"/>
    <w:rsid w:val="00883B05"/>
    <w:rsid w:val="00883EDC"/>
    <w:rsid w:val="008841B9"/>
    <w:rsid w:val="00884479"/>
    <w:rsid w:val="00884564"/>
    <w:rsid w:val="008847A8"/>
    <w:rsid w:val="00884BE1"/>
    <w:rsid w:val="00884F9C"/>
    <w:rsid w:val="008852FF"/>
    <w:rsid w:val="008853E2"/>
    <w:rsid w:val="008856BB"/>
    <w:rsid w:val="008857BF"/>
    <w:rsid w:val="0088582B"/>
    <w:rsid w:val="0088588B"/>
    <w:rsid w:val="00885A66"/>
    <w:rsid w:val="00885E07"/>
    <w:rsid w:val="00886320"/>
    <w:rsid w:val="0088636B"/>
    <w:rsid w:val="00886419"/>
    <w:rsid w:val="00886F02"/>
    <w:rsid w:val="0088700E"/>
    <w:rsid w:val="008871F7"/>
    <w:rsid w:val="00887228"/>
    <w:rsid w:val="008872D6"/>
    <w:rsid w:val="00887367"/>
    <w:rsid w:val="008879C0"/>
    <w:rsid w:val="00887D63"/>
    <w:rsid w:val="008902C9"/>
    <w:rsid w:val="00890465"/>
    <w:rsid w:val="00890BF3"/>
    <w:rsid w:val="00890F82"/>
    <w:rsid w:val="008910A1"/>
    <w:rsid w:val="0089112A"/>
    <w:rsid w:val="00891181"/>
    <w:rsid w:val="0089171E"/>
    <w:rsid w:val="0089190F"/>
    <w:rsid w:val="00891910"/>
    <w:rsid w:val="00891B58"/>
    <w:rsid w:val="00891BA8"/>
    <w:rsid w:val="00891DC9"/>
    <w:rsid w:val="00891F88"/>
    <w:rsid w:val="0089202C"/>
    <w:rsid w:val="0089227F"/>
    <w:rsid w:val="00892E5F"/>
    <w:rsid w:val="00893168"/>
    <w:rsid w:val="0089369D"/>
    <w:rsid w:val="008936A9"/>
    <w:rsid w:val="00893922"/>
    <w:rsid w:val="00893A36"/>
    <w:rsid w:val="00893A87"/>
    <w:rsid w:val="00893F80"/>
    <w:rsid w:val="0089423D"/>
    <w:rsid w:val="00894338"/>
    <w:rsid w:val="008946CB"/>
    <w:rsid w:val="008949A2"/>
    <w:rsid w:val="00894B13"/>
    <w:rsid w:val="00894B16"/>
    <w:rsid w:val="00894DA2"/>
    <w:rsid w:val="00894E55"/>
    <w:rsid w:val="008953BC"/>
    <w:rsid w:val="0089594C"/>
    <w:rsid w:val="00895A34"/>
    <w:rsid w:val="00895CE0"/>
    <w:rsid w:val="00896527"/>
    <w:rsid w:val="00896679"/>
    <w:rsid w:val="008967D8"/>
    <w:rsid w:val="00896D00"/>
    <w:rsid w:val="00896FBA"/>
    <w:rsid w:val="0089700E"/>
    <w:rsid w:val="008970B2"/>
    <w:rsid w:val="00897529"/>
    <w:rsid w:val="008976A8"/>
    <w:rsid w:val="008976E3"/>
    <w:rsid w:val="008979B2"/>
    <w:rsid w:val="00897CA0"/>
    <w:rsid w:val="00897E26"/>
    <w:rsid w:val="00897EE3"/>
    <w:rsid w:val="008A02F2"/>
    <w:rsid w:val="008A0996"/>
    <w:rsid w:val="008A0BDD"/>
    <w:rsid w:val="008A0D20"/>
    <w:rsid w:val="008A0F89"/>
    <w:rsid w:val="008A11EB"/>
    <w:rsid w:val="008A131A"/>
    <w:rsid w:val="008A1432"/>
    <w:rsid w:val="008A150E"/>
    <w:rsid w:val="008A15AF"/>
    <w:rsid w:val="008A2407"/>
    <w:rsid w:val="008A26E2"/>
    <w:rsid w:val="008A3445"/>
    <w:rsid w:val="008A346E"/>
    <w:rsid w:val="008A39B6"/>
    <w:rsid w:val="008A3D7C"/>
    <w:rsid w:val="008A3E5C"/>
    <w:rsid w:val="008A426A"/>
    <w:rsid w:val="008A4556"/>
    <w:rsid w:val="008A4CF2"/>
    <w:rsid w:val="008A4E52"/>
    <w:rsid w:val="008A52DD"/>
    <w:rsid w:val="008A588D"/>
    <w:rsid w:val="008A5B78"/>
    <w:rsid w:val="008A5B86"/>
    <w:rsid w:val="008A5CDC"/>
    <w:rsid w:val="008A6067"/>
    <w:rsid w:val="008A6351"/>
    <w:rsid w:val="008A64D9"/>
    <w:rsid w:val="008A792C"/>
    <w:rsid w:val="008A7BAF"/>
    <w:rsid w:val="008A7CCB"/>
    <w:rsid w:val="008A7E32"/>
    <w:rsid w:val="008A7E7C"/>
    <w:rsid w:val="008B04B8"/>
    <w:rsid w:val="008B08B1"/>
    <w:rsid w:val="008B0A71"/>
    <w:rsid w:val="008B12A4"/>
    <w:rsid w:val="008B1654"/>
    <w:rsid w:val="008B1724"/>
    <w:rsid w:val="008B1957"/>
    <w:rsid w:val="008B1ADB"/>
    <w:rsid w:val="008B1B1F"/>
    <w:rsid w:val="008B1C51"/>
    <w:rsid w:val="008B1CCD"/>
    <w:rsid w:val="008B1DC3"/>
    <w:rsid w:val="008B20D8"/>
    <w:rsid w:val="008B25EB"/>
    <w:rsid w:val="008B2D14"/>
    <w:rsid w:val="008B2E84"/>
    <w:rsid w:val="008B2EF0"/>
    <w:rsid w:val="008B3077"/>
    <w:rsid w:val="008B3895"/>
    <w:rsid w:val="008B3996"/>
    <w:rsid w:val="008B3AE2"/>
    <w:rsid w:val="008B3CC7"/>
    <w:rsid w:val="008B3EC3"/>
    <w:rsid w:val="008B4098"/>
    <w:rsid w:val="008B49E0"/>
    <w:rsid w:val="008B4DC0"/>
    <w:rsid w:val="008B524E"/>
    <w:rsid w:val="008B5D4C"/>
    <w:rsid w:val="008B5FF2"/>
    <w:rsid w:val="008B629F"/>
    <w:rsid w:val="008B63FB"/>
    <w:rsid w:val="008B66EA"/>
    <w:rsid w:val="008B6BCD"/>
    <w:rsid w:val="008B73F0"/>
    <w:rsid w:val="008B7606"/>
    <w:rsid w:val="008B7879"/>
    <w:rsid w:val="008B79E6"/>
    <w:rsid w:val="008B7F99"/>
    <w:rsid w:val="008C0066"/>
    <w:rsid w:val="008C087C"/>
    <w:rsid w:val="008C0C0A"/>
    <w:rsid w:val="008C0E7E"/>
    <w:rsid w:val="008C0F14"/>
    <w:rsid w:val="008C11AA"/>
    <w:rsid w:val="008C14B6"/>
    <w:rsid w:val="008C14B9"/>
    <w:rsid w:val="008C16B7"/>
    <w:rsid w:val="008C190A"/>
    <w:rsid w:val="008C19BB"/>
    <w:rsid w:val="008C2057"/>
    <w:rsid w:val="008C221F"/>
    <w:rsid w:val="008C27E2"/>
    <w:rsid w:val="008C28AD"/>
    <w:rsid w:val="008C2B96"/>
    <w:rsid w:val="008C2D4C"/>
    <w:rsid w:val="008C31E5"/>
    <w:rsid w:val="008C3468"/>
    <w:rsid w:val="008C353C"/>
    <w:rsid w:val="008C3FFC"/>
    <w:rsid w:val="008C40CD"/>
    <w:rsid w:val="008C4155"/>
    <w:rsid w:val="008C416C"/>
    <w:rsid w:val="008C418D"/>
    <w:rsid w:val="008C424B"/>
    <w:rsid w:val="008C4324"/>
    <w:rsid w:val="008C4405"/>
    <w:rsid w:val="008C479D"/>
    <w:rsid w:val="008C4859"/>
    <w:rsid w:val="008C5614"/>
    <w:rsid w:val="008C5664"/>
    <w:rsid w:val="008C5E2F"/>
    <w:rsid w:val="008C5EC7"/>
    <w:rsid w:val="008C5FA7"/>
    <w:rsid w:val="008C60EA"/>
    <w:rsid w:val="008C647A"/>
    <w:rsid w:val="008C64B1"/>
    <w:rsid w:val="008C64F6"/>
    <w:rsid w:val="008C65D8"/>
    <w:rsid w:val="008C7675"/>
    <w:rsid w:val="008C7C0A"/>
    <w:rsid w:val="008C7CEC"/>
    <w:rsid w:val="008C7E27"/>
    <w:rsid w:val="008C7E38"/>
    <w:rsid w:val="008D02F4"/>
    <w:rsid w:val="008D0363"/>
    <w:rsid w:val="008D03DC"/>
    <w:rsid w:val="008D04CC"/>
    <w:rsid w:val="008D068E"/>
    <w:rsid w:val="008D06DF"/>
    <w:rsid w:val="008D0A28"/>
    <w:rsid w:val="008D0B30"/>
    <w:rsid w:val="008D0CDB"/>
    <w:rsid w:val="008D0E43"/>
    <w:rsid w:val="008D0FCE"/>
    <w:rsid w:val="008D10D9"/>
    <w:rsid w:val="008D11B0"/>
    <w:rsid w:val="008D1653"/>
    <w:rsid w:val="008D1659"/>
    <w:rsid w:val="008D1958"/>
    <w:rsid w:val="008D201E"/>
    <w:rsid w:val="008D21A8"/>
    <w:rsid w:val="008D22E8"/>
    <w:rsid w:val="008D24E5"/>
    <w:rsid w:val="008D2688"/>
    <w:rsid w:val="008D288B"/>
    <w:rsid w:val="008D29D3"/>
    <w:rsid w:val="008D323C"/>
    <w:rsid w:val="008D330B"/>
    <w:rsid w:val="008D335F"/>
    <w:rsid w:val="008D352C"/>
    <w:rsid w:val="008D3664"/>
    <w:rsid w:val="008D385B"/>
    <w:rsid w:val="008D39F4"/>
    <w:rsid w:val="008D3D4C"/>
    <w:rsid w:val="008D3E4E"/>
    <w:rsid w:val="008D44BD"/>
    <w:rsid w:val="008D464D"/>
    <w:rsid w:val="008D48DD"/>
    <w:rsid w:val="008D4EA0"/>
    <w:rsid w:val="008D4FAA"/>
    <w:rsid w:val="008D50D7"/>
    <w:rsid w:val="008D51E8"/>
    <w:rsid w:val="008D543E"/>
    <w:rsid w:val="008D56BD"/>
    <w:rsid w:val="008D57DF"/>
    <w:rsid w:val="008D593F"/>
    <w:rsid w:val="008D5C79"/>
    <w:rsid w:val="008D5DF2"/>
    <w:rsid w:val="008D60C4"/>
    <w:rsid w:val="008D6B42"/>
    <w:rsid w:val="008D6BE8"/>
    <w:rsid w:val="008D6F35"/>
    <w:rsid w:val="008D7023"/>
    <w:rsid w:val="008D70B3"/>
    <w:rsid w:val="008D7268"/>
    <w:rsid w:val="008D7483"/>
    <w:rsid w:val="008D74B1"/>
    <w:rsid w:val="008D75E9"/>
    <w:rsid w:val="008D76E5"/>
    <w:rsid w:val="008D77EC"/>
    <w:rsid w:val="008D7961"/>
    <w:rsid w:val="008D7973"/>
    <w:rsid w:val="008D7A74"/>
    <w:rsid w:val="008D7DC5"/>
    <w:rsid w:val="008E01AD"/>
    <w:rsid w:val="008E0875"/>
    <w:rsid w:val="008E0DA1"/>
    <w:rsid w:val="008E0DAB"/>
    <w:rsid w:val="008E0E54"/>
    <w:rsid w:val="008E137A"/>
    <w:rsid w:val="008E1488"/>
    <w:rsid w:val="008E1E1B"/>
    <w:rsid w:val="008E22C6"/>
    <w:rsid w:val="008E2456"/>
    <w:rsid w:val="008E2A74"/>
    <w:rsid w:val="008E2AB6"/>
    <w:rsid w:val="008E2ED1"/>
    <w:rsid w:val="008E318E"/>
    <w:rsid w:val="008E3B56"/>
    <w:rsid w:val="008E42B0"/>
    <w:rsid w:val="008E42B2"/>
    <w:rsid w:val="008E465A"/>
    <w:rsid w:val="008E5018"/>
    <w:rsid w:val="008E5097"/>
    <w:rsid w:val="008E556D"/>
    <w:rsid w:val="008E5891"/>
    <w:rsid w:val="008E5AE2"/>
    <w:rsid w:val="008E5BF2"/>
    <w:rsid w:val="008E6299"/>
    <w:rsid w:val="008E63FC"/>
    <w:rsid w:val="008E6616"/>
    <w:rsid w:val="008E6773"/>
    <w:rsid w:val="008E67AE"/>
    <w:rsid w:val="008E6D7B"/>
    <w:rsid w:val="008E6DF1"/>
    <w:rsid w:val="008E6FF3"/>
    <w:rsid w:val="008E71FD"/>
    <w:rsid w:val="008E7264"/>
    <w:rsid w:val="008E73C6"/>
    <w:rsid w:val="008E7701"/>
    <w:rsid w:val="008E79F9"/>
    <w:rsid w:val="008E7BE9"/>
    <w:rsid w:val="008E7DBB"/>
    <w:rsid w:val="008E7F11"/>
    <w:rsid w:val="008E7F16"/>
    <w:rsid w:val="008E7F97"/>
    <w:rsid w:val="008E7FC4"/>
    <w:rsid w:val="008F0036"/>
    <w:rsid w:val="008F0660"/>
    <w:rsid w:val="008F07B8"/>
    <w:rsid w:val="008F0C60"/>
    <w:rsid w:val="008F1669"/>
    <w:rsid w:val="008F194D"/>
    <w:rsid w:val="008F199B"/>
    <w:rsid w:val="008F1B2E"/>
    <w:rsid w:val="008F1C93"/>
    <w:rsid w:val="008F1D01"/>
    <w:rsid w:val="008F1D3F"/>
    <w:rsid w:val="008F1D7E"/>
    <w:rsid w:val="008F1DDB"/>
    <w:rsid w:val="008F2209"/>
    <w:rsid w:val="008F252A"/>
    <w:rsid w:val="008F2B77"/>
    <w:rsid w:val="008F2F44"/>
    <w:rsid w:val="008F3192"/>
    <w:rsid w:val="008F32CC"/>
    <w:rsid w:val="008F362A"/>
    <w:rsid w:val="008F3737"/>
    <w:rsid w:val="008F38BB"/>
    <w:rsid w:val="008F3B8C"/>
    <w:rsid w:val="008F3BBD"/>
    <w:rsid w:val="008F3C51"/>
    <w:rsid w:val="008F3D30"/>
    <w:rsid w:val="008F3FB5"/>
    <w:rsid w:val="008F4E11"/>
    <w:rsid w:val="008F5067"/>
    <w:rsid w:val="008F5272"/>
    <w:rsid w:val="008F5562"/>
    <w:rsid w:val="008F5638"/>
    <w:rsid w:val="008F5766"/>
    <w:rsid w:val="008F57DD"/>
    <w:rsid w:val="008F588C"/>
    <w:rsid w:val="008F58DB"/>
    <w:rsid w:val="008F5D84"/>
    <w:rsid w:val="008F5E1F"/>
    <w:rsid w:val="008F5E3A"/>
    <w:rsid w:val="008F6125"/>
    <w:rsid w:val="008F6228"/>
    <w:rsid w:val="008F657C"/>
    <w:rsid w:val="008F6A94"/>
    <w:rsid w:val="008F6E11"/>
    <w:rsid w:val="008F6E91"/>
    <w:rsid w:val="008F6ED6"/>
    <w:rsid w:val="008F6FA2"/>
    <w:rsid w:val="008F7082"/>
    <w:rsid w:val="008F726C"/>
    <w:rsid w:val="008F7488"/>
    <w:rsid w:val="008F7870"/>
    <w:rsid w:val="008F78BD"/>
    <w:rsid w:val="008F78F4"/>
    <w:rsid w:val="008F7C90"/>
    <w:rsid w:val="008F7DD1"/>
    <w:rsid w:val="008F7E83"/>
    <w:rsid w:val="008F7E8F"/>
    <w:rsid w:val="008F7F41"/>
    <w:rsid w:val="00900204"/>
    <w:rsid w:val="009006B6"/>
    <w:rsid w:val="00900764"/>
    <w:rsid w:val="00900886"/>
    <w:rsid w:val="0090095A"/>
    <w:rsid w:val="009009A6"/>
    <w:rsid w:val="00901315"/>
    <w:rsid w:val="00901583"/>
    <w:rsid w:val="00901723"/>
    <w:rsid w:val="00901B53"/>
    <w:rsid w:val="00901B87"/>
    <w:rsid w:val="0090225A"/>
    <w:rsid w:val="00902316"/>
    <w:rsid w:val="00902574"/>
    <w:rsid w:val="00902EF8"/>
    <w:rsid w:val="00903583"/>
    <w:rsid w:val="00904492"/>
    <w:rsid w:val="009045E2"/>
    <w:rsid w:val="00904614"/>
    <w:rsid w:val="0090461F"/>
    <w:rsid w:val="009046EF"/>
    <w:rsid w:val="009047BD"/>
    <w:rsid w:val="00904CC9"/>
    <w:rsid w:val="00905020"/>
    <w:rsid w:val="00905270"/>
    <w:rsid w:val="00905600"/>
    <w:rsid w:val="00905A5A"/>
    <w:rsid w:val="00905AB5"/>
    <w:rsid w:val="00905EDA"/>
    <w:rsid w:val="00905F6F"/>
    <w:rsid w:val="00906673"/>
    <w:rsid w:val="009068AE"/>
    <w:rsid w:val="00906948"/>
    <w:rsid w:val="00906F3F"/>
    <w:rsid w:val="00907065"/>
    <w:rsid w:val="009073AF"/>
    <w:rsid w:val="009074EC"/>
    <w:rsid w:val="00907B49"/>
    <w:rsid w:val="00907BB1"/>
    <w:rsid w:val="00907F78"/>
    <w:rsid w:val="0091007B"/>
    <w:rsid w:val="00910121"/>
    <w:rsid w:val="00910204"/>
    <w:rsid w:val="00910AEF"/>
    <w:rsid w:val="00910D86"/>
    <w:rsid w:val="00910EC2"/>
    <w:rsid w:val="00910F71"/>
    <w:rsid w:val="009110A1"/>
    <w:rsid w:val="009115E1"/>
    <w:rsid w:val="009119ED"/>
    <w:rsid w:val="00912161"/>
    <w:rsid w:val="00912234"/>
    <w:rsid w:val="00912734"/>
    <w:rsid w:val="0091275E"/>
    <w:rsid w:val="0091288A"/>
    <w:rsid w:val="009128C0"/>
    <w:rsid w:val="00912D61"/>
    <w:rsid w:val="00912EFA"/>
    <w:rsid w:val="009131E2"/>
    <w:rsid w:val="0091331B"/>
    <w:rsid w:val="009133A5"/>
    <w:rsid w:val="00913A0E"/>
    <w:rsid w:val="00913D04"/>
    <w:rsid w:val="009142FC"/>
    <w:rsid w:val="00914547"/>
    <w:rsid w:val="00914680"/>
    <w:rsid w:val="009146DD"/>
    <w:rsid w:val="0091477C"/>
    <w:rsid w:val="009149EA"/>
    <w:rsid w:val="00914AEF"/>
    <w:rsid w:val="00914C71"/>
    <w:rsid w:val="00915120"/>
    <w:rsid w:val="009155CF"/>
    <w:rsid w:val="009157C5"/>
    <w:rsid w:val="009158D3"/>
    <w:rsid w:val="00915C0D"/>
    <w:rsid w:val="00915D77"/>
    <w:rsid w:val="00916094"/>
    <w:rsid w:val="009164A0"/>
    <w:rsid w:val="00916530"/>
    <w:rsid w:val="00916757"/>
    <w:rsid w:val="00916A76"/>
    <w:rsid w:val="00916F46"/>
    <w:rsid w:val="00917562"/>
    <w:rsid w:val="00917678"/>
    <w:rsid w:val="009176AD"/>
    <w:rsid w:val="00917ABA"/>
    <w:rsid w:val="00917DAC"/>
    <w:rsid w:val="00917F32"/>
    <w:rsid w:val="009200AE"/>
    <w:rsid w:val="00920662"/>
    <w:rsid w:val="0092097C"/>
    <w:rsid w:val="00920AC5"/>
    <w:rsid w:val="00920C83"/>
    <w:rsid w:val="00920E01"/>
    <w:rsid w:val="009213EA"/>
    <w:rsid w:val="0092192D"/>
    <w:rsid w:val="0092194E"/>
    <w:rsid w:val="00921A04"/>
    <w:rsid w:val="00922154"/>
    <w:rsid w:val="0092242B"/>
    <w:rsid w:val="00922586"/>
    <w:rsid w:val="00922608"/>
    <w:rsid w:val="0092293B"/>
    <w:rsid w:val="00922AD2"/>
    <w:rsid w:val="00922ECF"/>
    <w:rsid w:val="00923301"/>
    <w:rsid w:val="00923863"/>
    <w:rsid w:val="00923896"/>
    <w:rsid w:val="009239E8"/>
    <w:rsid w:val="00923AA4"/>
    <w:rsid w:val="00923C5C"/>
    <w:rsid w:val="0092406C"/>
    <w:rsid w:val="00924175"/>
    <w:rsid w:val="00924347"/>
    <w:rsid w:val="0092438F"/>
    <w:rsid w:val="009243E5"/>
    <w:rsid w:val="00924441"/>
    <w:rsid w:val="009244A4"/>
    <w:rsid w:val="0092455D"/>
    <w:rsid w:val="009245AA"/>
    <w:rsid w:val="00924750"/>
    <w:rsid w:val="00924948"/>
    <w:rsid w:val="0092494A"/>
    <w:rsid w:val="00924B07"/>
    <w:rsid w:val="00924B1A"/>
    <w:rsid w:val="00924EF5"/>
    <w:rsid w:val="00924F50"/>
    <w:rsid w:val="0092536D"/>
    <w:rsid w:val="00925590"/>
    <w:rsid w:val="00925772"/>
    <w:rsid w:val="00925BF1"/>
    <w:rsid w:val="00925DB3"/>
    <w:rsid w:val="00925EA8"/>
    <w:rsid w:val="0092603A"/>
    <w:rsid w:val="009266AB"/>
    <w:rsid w:val="00926796"/>
    <w:rsid w:val="0092692E"/>
    <w:rsid w:val="00926951"/>
    <w:rsid w:val="00926AC0"/>
    <w:rsid w:val="00926DF7"/>
    <w:rsid w:val="0092734E"/>
    <w:rsid w:val="00927399"/>
    <w:rsid w:val="00927897"/>
    <w:rsid w:val="0092794E"/>
    <w:rsid w:val="009279F5"/>
    <w:rsid w:val="00927DDF"/>
    <w:rsid w:val="0093001A"/>
    <w:rsid w:val="009300D7"/>
    <w:rsid w:val="009307C0"/>
    <w:rsid w:val="00930BFB"/>
    <w:rsid w:val="00930D06"/>
    <w:rsid w:val="00930D9B"/>
    <w:rsid w:val="00930F34"/>
    <w:rsid w:val="00931129"/>
    <w:rsid w:val="00931966"/>
    <w:rsid w:val="00931C1E"/>
    <w:rsid w:val="009321CC"/>
    <w:rsid w:val="00932A77"/>
    <w:rsid w:val="00933010"/>
    <w:rsid w:val="0093306C"/>
    <w:rsid w:val="009330E7"/>
    <w:rsid w:val="009332E1"/>
    <w:rsid w:val="00933362"/>
    <w:rsid w:val="00933614"/>
    <w:rsid w:val="00933676"/>
    <w:rsid w:val="00933807"/>
    <w:rsid w:val="009344BE"/>
    <w:rsid w:val="00934596"/>
    <w:rsid w:val="00934979"/>
    <w:rsid w:val="00934CB0"/>
    <w:rsid w:val="00934D1C"/>
    <w:rsid w:val="00935144"/>
    <w:rsid w:val="00935ABE"/>
    <w:rsid w:val="00935B70"/>
    <w:rsid w:val="00935B74"/>
    <w:rsid w:val="00935F20"/>
    <w:rsid w:val="00935F7A"/>
    <w:rsid w:val="00936349"/>
    <w:rsid w:val="009363DF"/>
    <w:rsid w:val="009365AF"/>
    <w:rsid w:val="0093668F"/>
    <w:rsid w:val="00936760"/>
    <w:rsid w:val="009367D4"/>
    <w:rsid w:val="009369BE"/>
    <w:rsid w:val="009369F9"/>
    <w:rsid w:val="00936D18"/>
    <w:rsid w:val="00936FC4"/>
    <w:rsid w:val="009374A1"/>
    <w:rsid w:val="009377CE"/>
    <w:rsid w:val="00937E68"/>
    <w:rsid w:val="0094009B"/>
    <w:rsid w:val="00940126"/>
    <w:rsid w:val="0094057C"/>
    <w:rsid w:val="0094072B"/>
    <w:rsid w:val="00941604"/>
    <w:rsid w:val="00941740"/>
    <w:rsid w:val="00941743"/>
    <w:rsid w:val="00941A51"/>
    <w:rsid w:val="00941C36"/>
    <w:rsid w:val="00941DD2"/>
    <w:rsid w:val="0094208A"/>
    <w:rsid w:val="009426A0"/>
    <w:rsid w:val="00942763"/>
    <w:rsid w:val="0094289A"/>
    <w:rsid w:val="00942975"/>
    <w:rsid w:val="0094326F"/>
    <w:rsid w:val="0094327E"/>
    <w:rsid w:val="00943321"/>
    <w:rsid w:val="00943400"/>
    <w:rsid w:val="00943757"/>
    <w:rsid w:val="0094388B"/>
    <w:rsid w:val="00943955"/>
    <w:rsid w:val="00943C38"/>
    <w:rsid w:val="00943CAA"/>
    <w:rsid w:val="00943D5E"/>
    <w:rsid w:val="00943E4D"/>
    <w:rsid w:val="0094438E"/>
    <w:rsid w:val="0094450B"/>
    <w:rsid w:val="00944897"/>
    <w:rsid w:val="00944C4A"/>
    <w:rsid w:val="00944D81"/>
    <w:rsid w:val="00944DC5"/>
    <w:rsid w:val="00944E81"/>
    <w:rsid w:val="009453E6"/>
    <w:rsid w:val="009457DB"/>
    <w:rsid w:val="00945AC5"/>
    <w:rsid w:val="00945CBF"/>
    <w:rsid w:val="00945CDF"/>
    <w:rsid w:val="00945CF3"/>
    <w:rsid w:val="00945E37"/>
    <w:rsid w:val="009462EF"/>
    <w:rsid w:val="00946657"/>
    <w:rsid w:val="00946741"/>
    <w:rsid w:val="00946742"/>
    <w:rsid w:val="00946A68"/>
    <w:rsid w:val="00946E22"/>
    <w:rsid w:val="00946F73"/>
    <w:rsid w:val="00947284"/>
    <w:rsid w:val="0094730B"/>
    <w:rsid w:val="00947763"/>
    <w:rsid w:val="00947AB1"/>
    <w:rsid w:val="00947B3E"/>
    <w:rsid w:val="00947C54"/>
    <w:rsid w:val="0095003E"/>
    <w:rsid w:val="0095010A"/>
    <w:rsid w:val="00950171"/>
    <w:rsid w:val="00950339"/>
    <w:rsid w:val="00950945"/>
    <w:rsid w:val="00950E29"/>
    <w:rsid w:val="00950ECE"/>
    <w:rsid w:val="009513F4"/>
    <w:rsid w:val="009514BD"/>
    <w:rsid w:val="00951838"/>
    <w:rsid w:val="00951DB2"/>
    <w:rsid w:val="00951E21"/>
    <w:rsid w:val="00951FE4"/>
    <w:rsid w:val="0095234D"/>
    <w:rsid w:val="00952912"/>
    <w:rsid w:val="00953116"/>
    <w:rsid w:val="00953B30"/>
    <w:rsid w:val="00954453"/>
    <w:rsid w:val="00954516"/>
    <w:rsid w:val="00954664"/>
    <w:rsid w:val="00954A83"/>
    <w:rsid w:val="00954EE1"/>
    <w:rsid w:val="00954FAD"/>
    <w:rsid w:val="00955371"/>
    <w:rsid w:val="00955832"/>
    <w:rsid w:val="00955851"/>
    <w:rsid w:val="00955C42"/>
    <w:rsid w:val="00955EA5"/>
    <w:rsid w:val="0095640A"/>
    <w:rsid w:val="00956867"/>
    <w:rsid w:val="00956A41"/>
    <w:rsid w:val="00956B17"/>
    <w:rsid w:val="00956C24"/>
    <w:rsid w:val="00956E06"/>
    <w:rsid w:val="00957298"/>
    <w:rsid w:val="009572FE"/>
    <w:rsid w:val="0095742D"/>
    <w:rsid w:val="0095749A"/>
    <w:rsid w:val="009575B8"/>
    <w:rsid w:val="009575BF"/>
    <w:rsid w:val="00957718"/>
    <w:rsid w:val="00957877"/>
    <w:rsid w:val="00957953"/>
    <w:rsid w:val="00957DFB"/>
    <w:rsid w:val="00957E35"/>
    <w:rsid w:val="00960313"/>
    <w:rsid w:val="00960577"/>
    <w:rsid w:val="00960647"/>
    <w:rsid w:val="00960B73"/>
    <w:rsid w:val="00960BD1"/>
    <w:rsid w:val="00960E11"/>
    <w:rsid w:val="009614A8"/>
    <w:rsid w:val="00961C94"/>
    <w:rsid w:val="00961DB4"/>
    <w:rsid w:val="00962958"/>
    <w:rsid w:val="00962E1E"/>
    <w:rsid w:val="0096317E"/>
    <w:rsid w:val="009631C4"/>
    <w:rsid w:val="009638FF"/>
    <w:rsid w:val="00963ABF"/>
    <w:rsid w:val="00963C69"/>
    <w:rsid w:val="009641C0"/>
    <w:rsid w:val="009641CF"/>
    <w:rsid w:val="009642DF"/>
    <w:rsid w:val="00964610"/>
    <w:rsid w:val="00964850"/>
    <w:rsid w:val="00964889"/>
    <w:rsid w:val="00964C1A"/>
    <w:rsid w:val="00964C60"/>
    <w:rsid w:val="00964F21"/>
    <w:rsid w:val="00965847"/>
    <w:rsid w:val="00965CDE"/>
    <w:rsid w:val="009663DE"/>
    <w:rsid w:val="0096667B"/>
    <w:rsid w:val="00966CB6"/>
    <w:rsid w:val="00966CB8"/>
    <w:rsid w:val="00967132"/>
    <w:rsid w:val="009671EB"/>
    <w:rsid w:val="009678A0"/>
    <w:rsid w:val="00967FCC"/>
    <w:rsid w:val="00967FCD"/>
    <w:rsid w:val="009703D7"/>
    <w:rsid w:val="009704F7"/>
    <w:rsid w:val="00970915"/>
    <w:rsid w:val="009711F2"/>
    <w:rsid w:val="009712CA"/>
    <w:rsid w:val="00971807"/>
    <w:rsid w:val="00971BB3"/>
    <w:rsid w:val="00972599"/>
    <w:rsid w:val="00972751"/>
    <w:rsid w:val="00972A70"/>
    <w:rsid w:val="00972B73"/>
    <w:rsid w:val="00972F0D"/>
    <w:rsid w:val="00973550"/>
    <w:rsid w:val="00973AFC"/>
    <w:rsid w:val="00973E2B"/>
    <w:rsid w:val="00973EA3"/>
    <w:rsid w:val="00973ED7"/>
    <w:rsid w:val="0097424E"/>
    <w:rsid w:val="009743A9"/>
    <w:rsid w:val="0097450B"/>
    <w:rsid w:val="0097486A"/>
    <w:rsid w:val="00974891"/>
    <w:rsid w:val="00974CB7"/>
    <w:rsid w:val="00974CCD"/>
    <w:rsid w:val="00974D30"/>
    <w:rsid w:val="00974DC2"/>
    <w:rsid w:val="00974F0C"/>
    <w:rsid w:val="00975067"/>
    <w:rsid w:val="009750B3"/>
    <w:rsid w:val="0097578D"/>
    <w:rsid w:val="009759BB"/>
    <w:rsid w:val="00975AF5"/>
    <w:rsid w:val="00975EFB"/>
    <w:rsid w:val="00976211"/>
    <w:rsid w:val="0097668A"/>
    <w:rsid w:val="009769DA"/>
    <w:rsid w:val="00976C84"/>
    <w:rsid w:val="00977183"/>
    <w:rsid w:val="00977624"/>
    <w:rsid w:val="009777F7"/>
    <w:rsid w:val="00977886"/>
    <w:rsid w:val="0097797A"/>
    <w:rsid w:val="00977CBB"/>
    <w:rsid w:val="00977E18"/>
    <w:rsid w:val="00980021"/>
    <w:rsid w:val="00980043"/>
    <w:rsid w:val="009802D7"/>
    <w:rsid w:val="00980949"/>
    <w:rsid w:val="00980CC6"/>
    <w:rsid w:val="00981080"/>
    <w:rsid w:val="00981157"/>
    <w:rsid w:val="0098158F"/>
    <w:rsid w:val="0098184B"/>
    <w:rsid w:val="00981980"/>
    <w:rsid w:val="00981AEB"/>
    <w:rsid w:val="0098248C"/>
    <w:rsid w:val="0098274D"/>
    <w:rsid w:val="00982D5E"/>
    <w:rsid w:val="00983603"/>
    <w:rsid w:val="009839C7"/>
    <w:rsid w:val="00983A79"/>
    <w:rsid w:val="00984175"/>
    <w:rsid w:val="009843D2"/>
    <w:rsid w:val="0098487D"/>
    <w:rsid w:val="00984A94"/>
    <w:rsid w:val="00984BFB"/>
    <w:rsid w:val="00984DCC"/>
    <w:rsid w:val="0098511F"/>
    <w:rsid w:val="0098548B"/>
    <w:rsid w:val="0098556D"/>
    <w:rsid w:val="009855EF"/>
    <w:rsid w:val="009859B6"/>
    <w:rsid w:val="00985B3D"/>
    <w:rsid w:val="00985C41"/>
    <w:rsid w:val="00985DCF"/>
    <w:rsid w:val="0098624E"/>
    <w:rsid w:val="0098642A"/>
    <w:rsid w:val="009865D0"/>
    <w:rsid w:val="0098678B"/>
    <w:rsid w:val="0098678F"/>
    <w:rsid w:val="009867D2"/>
    <w:rsid w:val="009869DF"/>
    <w:rsid w:val="00986B87"/>
    <w:rsid w:val="00986B9F"/>
    <w:rsid w:val="00986CBE"/>
    <w:rsid w:val="00986DDC"/>
    <w:rsid w:val="009875F0"/>
    <w:rsid w:val="00987A7B"/>
    <w:rsid w:val="00987B43"/>
    <w:rsid w:val="0099009F"/>
    <w:rsid w:val="009908A8"/>
    <w:rsid w:val="009908D4"/>
    <w:rsid w:val="00990CC3"/>
    <w:rsid w:val="0099117C"/>
    <w:rsid w:val="0099125F"/>
    <w:rsid w:val="00991496"/>
    <w:rsid w:val="0099150A"/>
    <w:rsid w:val="00991795"/>
    <w:rsid w:val="00991A4F"/>
    <w:rsid w:val="00991E2A"/>
    <w:rsid w:val="009921CF"/>
    <w:rsid w:val="0099252E"/>
    <w:rsid w:val="00992D51"/>
    <w:rsid w:val="00993590"/>
    <w:rsid w:val="00993638"/>
    <w:rsid w:val="009939DC"/>
    <w:rsid w:val="00993E24"/>
    <w:rsid w:val="00993F9B"/>
    <w:rsid w:val="00995F13"/>
    <w:rsid w:val="00995F58"/>
    <w:rsid w:val="00995FF1"/>
    <w:rsid w:val="00996399"/>
    <w:rsid w:val="009964D7"/>
    <w:rsid w:val="0099664C"/>
    <w:rsid w:val="0099672B"/>
    <w:rsid w:val="009967FC"/>
    <w:rsid w:val="00996A45"/>
    <w:rsid w:val="00996C60"/>
    <w:rsid w:val="00996D63"/>
    <w:rsid w:val="00996D69"/>
    <w:rsid w:val="00996DD0"/>
    <w:rsid w:val="00996FCA"/>
    <w:rsid w:val="00997212"/>
    <w:rsid w:val="009975FF"/>
    <w:rsid w:val="00997600"/>
    <w:rsid w:val="00997620"/>
    <w:rsid w:val="00997849"/>
    <w:rsid w:val="00997A97"/>
    <w:rsid w:val="00997DCC"/>
    <w:rsid w:val="009A086A"/>
    <w:rsid w:val="009A0A86"/>
    <w:rsid w:val="009A0B06"/>
    <w:rsid w:val="009A0C6C"/>
    <w:rsid w:val="009A0F8E"/>
    <w:rsid w:val="009A12AD"/>
    <w:rsid w:val="009A12E3"/>
    <w:rsid w:val="009A1407"/>
    <w:rsid w:val="009A16A5"/>
    <w:rsid w:val="009A1843"/>
    <w:rsid w:val="009A19B5"/>
    <w:rsid w:val="009A1A35"/>
    <w:rsid w:val="009A1DAE"/>
    <w:rsid w:val="009A21DE"/>
    <w:rsid w:val="009A225B"/>
    <w:rsid w:val="009A22AC"/>
    <w:rsid w:val="009A23A5"/>
    <w:rsid w:val="009A23DF"/>
    <w:rsid w:val="009A2C11"/>
    <w:rsid w:val="009A2C5F"/>
    <w:rsid w:val="009A3028"/>
    <w:rsid w:val="009A32AF"/>
    <w:rsid w:val="009A3338"/>
    <w:rsid w:val="009A3581"/>
    <w:rsid w:val="009A38B7"/>
    <w:rsid w:val="009A4418"/>
    <w:rsid w:val="009A5080"/>
    <w:rsid w:val="009A51E1"/>
    <w:rsid w:val="009A51FA"/>
    <w:rsid w:val="009A552C"/>
    <w:rsid w:val="009A57AE"/>
    <w:rsid w:val="009A57F5"/>
    <w:rsid w:val="009A5931"/>
    <w:rsid w:val="009A5EBC"/>
    <w:rsid w:val="009A5FB3"/>
    <w:rsid w:val="009A5FDA"/>
    <w:rsid w:val="009A627B"/>
    <w:rsid w:val="009A63C8"/>
    <w:rsid w:val="009A683F"/>
    <w:rsid w:val="009A685D"/>
    <w:rsid w:val="009A6D8C"/>
    <w:rsid w:val="009A6EA6"/>
    <w:rsid w:val="009A6F5E"/>
    <w:rsid w:val="009A70C0"/>
    <w:rsid w:val="009A73E4"/>
    <w:rsid w:val="009A74D0"/>
    <w:rsid w:val="009A7741"/>
    <w:rsid w:val="009A78ED"/>
    <w:rsid w:val="009A7B7B"/>
    <w:rsid w:val="009A7CD9"/>
    <w:rsid w:val="009A7F1D"/>
    <w:rsid w:val="009B044C"/>
    <w:rsid w:val="009B06DF"/>
    <w:rsid w:val="009B0784"/>
    <w:rsid w:val="009B11C4"/>
    <w:rsid w:val="009B168B"/>
    <w:rsid w:val="009B1697"/>
    <w:rsid w:val="009B1979"/>
    <w:rsid w:val="009B19B4"/>
    <w:rsid w:val="009B1A70"/>
    <w:rsid w:val="009B1ACE"/>
    <w:rsid w:val="009B1B68"/>
    <w:rsid w:val="009B22E2"/>
    <w:rsid w:val="009B2440"/>
    <w:rsid w:val="009B26F3"/>
    <w:rsid w:val="009B28A0"/>
    <w:rsid w:val="009B2C2F"/>
    <w:rsid w:val="009B2EC7"/>
    <w:rsid w:val="009B2FAB"/>
    <w:rsid w:val="009B31D5"/>
    <w:rsid w:val="009B31D6"/>
    <w:rsid w:val="009B33BE"/>
    <w:rsid w:val="009B34F9"/>
    <w:rsid w:val="009B35DF"/>
    <w:rsid w:val="009B3985"/>
    <w:rsid w:val="009B3C19"/>
    <w:rsid w:val="009B3E11"/>
    <w:rsid w:val="009B3F98"/>
    <w:rsid w:val="009B43C0"/>
    <w:rsid w:val="009B45BD"/>
    <w:rsid w:val="009B4643"/>
    <w:rsid w:val="009B4A60"/>
    <w:rsid w:val="009B4DD6"/>
    <w:rsid w:val="009B4EC7"/>
    <w:rsid w:val="009B5090"/>
    <w:rsid w:val="009B5194"/>
    <w:rsid w:val="009B51E4"/>
    <w:rsid w:val="009B53C6"/>
    <w:rsid w:val="009B5499"/>
    <w:rsid w:val="009B592B"/>
    <w:rsid w:val="009B59D9"/>
    <w:rsid w:val="009B5FD0"/>
    <w:rsid w:val="009B6036"/>
    <w:rsid w:val="009B623A"/>
    <w:rsid w:val="009B65A3"/>
    <w:rsid w:val="009B66D4"/>
    <w:rsid w:val="009B6F58"/>
    <w:rsid w:val="009B7095"/>
    <w:rsid w:val="009B72AF"/>
    <w:rsid w:val="009B7390"/>
    <w:rsid w:val="009B7710"/>
    <w:rsid w:val="009B7929"/>
    <w:rsid w:val="009C01C6"/>
    <w:rsid w:val="009C0206"/>
    <w:rsid w:val="009C049B"/>
    <w:rsid w:val="009C05CA"/>
    <w:rsid w:val="009C07D0"/>
    <w:rsid w:val="009C0937"/>
    <w:rsid w:val="009C0C68"/>
    <w:rsid w:val="009C0D26"/>
    <w:rsid w:val="009C0D2D"/>
    <w:rsid w:val="009C1090"/>
    <w:rsid w:val="009C10A1"/>
    <w:rsid w:val="009C12DC"/>
    <w:rsid w:val="009C1BE9"/>
    <w:rsid w:val="009C1C6B"/>
    <w:rsid w:val="009C229F"/>
    <w:rsid w:val="009C243F"/>
    <w:rsid w:val="009C2BC2"/>
    <w:rsid w:val="009C2D8F"/>
    <w:rsid w:val="009C2F88"/>
    <w:rsid w:val="009C31D3"/>
    <w:rsid w:val="009C35B7"/>
    <w:rsid w:val="009C35C7"/>
    <w:rsid w:val="009C36BE"/>
    <w:rsid w:val="009C372C"/>
    <w:rsid w:val="009C3B1D"/>
    <w:rsid w:val="009C3E47"/>
    <w:rsid w:val="009C3EF6"/>
    <w:rsid w:val="009C40E5"/>
    <w:rsid w:val="009C422C"/>
    <w:rsid w:val="009C42B2"/>
    <w:rsid w:val="009C496E"/>
    <w:rsid w:val="009C49E6"/>
    <w:rsid w:val="009C4A5C"/>
    <w:rsid w:val="009C4B24"/>
    <w:rsid w:val="009C4BBB"/>
    <w:rsid w:val="009C5594"/>
    <w:rsid w:val="009C5CBA"/>
    <w:rsid w:val="009C5E01"/>
    <w:rsid w:val="009C5FBE"/>
    <w:rsid w:val="009C5FE4"/>
    <w:rsid w:val="009C60BB"/>
    <w:rsid w:val="009C614F"/>
    <w:rsid w:val="009C6504"/>
    <w:rsid w:val="009C69FA"/>
    <w:rsid w:val="009C6A27"/>
    <w:rsid w:val="009C6B69"/>
    <w:rsid w:val="009C6BE2"/>
    <w:rsid w:val="009C7116"/>
    <w:rsid w:val="009C724A"/>
    <w:rsid w:val="009C7680"/>
    <w:rsid w:val="009C77A7"/>
    <w:rsid w:val="009C7A44"/>
    <w:rsid w:val="009D0341"/>
    <w:rsid w:val="009D07C6"/>
    <w:rsid w:val="009D09B6"/>
    <w:rsid w:val="009D0CD2"/>
    <w:rsid w:val="009D0F37"/>
    <w:rsid w:val="009D1009"/>
    <w:rsid w:val="009D117F"/>
    <w:rsid w:val="009D174F"/>
    <w:rsid w:val="009D1761"/>
    <w:rsid w:val="009D195B"/>
    <w:rsid w:val="009D1A99"/>
    <w:rsid w:val="009D1ED4"/>
    <w:rsid w:val="009D22C0"/>
    <w:rsid w:val="009D2556"/>
    <w:rsid w:val="009D2826"/>
    <w:rsid w:val="009D2B46"/>
    <w:rsid w:val="009D2D61"/>
    <w:rsid w:val="009D2F05"/>
    <w:rsid w:val="009D3599"/>
    <w:rsid w:val="009D35BF"/>
    <w:rsid w:val="009D3B70"/>
    <w:rsid w:val="009D3BB4"/>
    <w:rsid w:val="009D3C02"/>
    <w:rsid w:val="009D3CE6"/>
    <w:rsid w:val="009D3D26"/>
    <w:rsid w:val="009D4028"/>
    <w:rsid w:val="009D4271"/>
    <w:rsid w:val="009D4A96"/>
    <w:rsid w:val="009D4BF3"/>
    <w:rsid w:val="009D4C12"/>
    <w:rsid w:val="009D5986"/>
    <w:rsid w:val="009D5FFD"/>
    <w:rsid w:val="009D603D"/>
    <w:rsid w:val="009D6491"/>
    <w:rsid w:val="009D649B"/>
    <w:rsid w:val="009D6537"/>
    <w:rsid w:val="009D65A8"/>
    <w:rsid w:val="009D65B7"/>
    <w:rsid w:val="009D65DE"/>
    <w:rsid w:val="009D676E"/>
    <w:rsid w:val="009D6B29"/>
    <w:rsid w:val="009D6DEC"/>
    <w:rsid w:val="009D7096"/>
    <w:rsid w:val="009D74C8"/>
    <w:rsid w:val="009D761B"/>
    <w:rsid w:val="009D77EF"/>
    <w:rsid w:val="009D780C"/>
    <w:rsid w:val="009D7978"/>
    <w:rsid w:val="009D7A23"/>
    <w:rsid w:val="009E0112"/>
    <w:rsid w:val="009E0531"/>
    <w:rsid w:val="009E0537"/>
    <w:rsid w:val="009E06B5"/>
    <w:rsid w:val="009E0721"/>
    <w:rsid w:val="009E08AB"/>
    <w:rsid w:val="009E0FFD"/>
    <w:rsid w:val="009E100D"/>
    <w:rsid w:val="009E14D3"/>
    <w:rsid w:val="009E1905"/>
    <w:rsid w:val="009E1962"/>
    <w:rsid w:val="009E1D4B"/>
    <w:rsid w:val="009E1D6A"/>
    <w:rsid w:val="009E1F12"/>
    <w:rsid w:val="009E204D"/>
    <w:rsid w:val="009E23AA"/>
    <w:rsid w:val="009E2853"/>
    <w:rsid w:val="009E29F3"/>
    <w:rsid w:val="009E307F"/>
    <w:rsid w:val="009E372D"/>
    <w:rsid w:val="009E378A"/>
    <w:rsid w:val="009E3A59"/>
    <w:rsid w:val="009E3B13"/>
    <w:rsid w:val="009E3C14"/>
    <w:rsid w:val="009E3C2C"/>
    <w:rsid w:val="009E3C44"/>
    <w:rsid w:val="009E403A"/>
    <w:rsid w:val="009E435D"/>
    <w:rsid w:val="009E4677"/>
    <w:rsid w:val="009E490F"/>
    <w:rsid w:val="009E5019"/>
    <w:rsid w:val="009E5299"/>
    <w:rsid w:val="009E58CB"/>
    <w:rsid w:val="009E5A4B"/>
    <w:rsid w:val="009E61E5"/>
    <w:rsid w:val="009E63D7"/>
    <w:rsid w:val="009E640D"/>
    <w:rsid w:val="009E646C"/>
    <w:rsid w:val="009E687E"/>
    <w:rsid w:val="009E695B"/>
    <w:rsid w:val="009E6A03"/>
    <w:rsid w:val="009E6D8F"/>
    <w:rsid w:val="009E6DDC"/>
    <w:rsid w:val="009E7146"/>
    <w:rsid w:val="009E73F8"/>
    <w:rsid w:val="009E75C2"/>
    <w:rsid w:val="009E75D9"/>
    <w:rsid w:val="009E7688"/>
    <w:rsid w:val="009E784E"/>
    <w:rsid w:val="009E7C5A"/>
    <w:rsid w:val="009F0002"/>
    <w:rsid w:val="009F01AC"/>
    <w:rsid w:val="009F0209"/>
    <w:rsid w:val="009F033D"/>
    <w:rsid w:val="009F06BF"/>
    <w:rsid w:val="009F07D6"/>
    <w:rsid w:val="009F084F"/>
    <w:rsid w:val="009F08E5"/>
    <w:rsid w:val="009F0BEF"/>
    <w:rsid w:val="009F0BF0"/>
    <w:rsid w:val="009F0BF9"/>
    <w:rsid w:val="009F0C93"/>
    <w:rsid w:val="009F0CB6"/>
    <w:rsid w:val="009F138A"/>
    <w:rsid w:val="009F1A43"/>
    <w:rsid w:val="009F1AAE"/>
    <w:rsid w:val="009F1CB4"/>
    <w:rsid w:val="009F1D31"/>
    <w:rsid w:val="009F1D6A"/>
    <w:rsid w:val="009F1DD9"/>
    <w:rsid w:val="009F204E"/>
    <w:rsid w:val="009F254E"/>
    <w:rsid w:val="009F2660"/>
    <w:rsid w:val="009F299B"/>
    <w:rsid w:val="009F2B02"/>
    <w:rsid w:val="009F2C23"/>
    <w:rsid w:val="009F2C48"/>
    <w:rsid w:val="009F2C58"/>
    <w:rsid w:val="009F2DF2"/>
    <w:rsid w:val="009F3121"/>
    <w:rsid w:val="009F3179"/>
    <w:rsid w:val="009F3748"/>
    <w:rsid w:val="009F39F8"/>
    <w:rsid w:val="009F3CC9"/>
    <w:rsid w:val="009F3E26"/>
    <w:rsid w:val="009F41F2"/>
    <w:rsid w:val="009F47A3"/>
    <w:rsid w:val="009F4A8F"/>
    <w:rsid w:val="009F4C99"/>
    <w:rsid w:val="009F4D25"/>
    <w:rsid w:val="009F4F8D"/>
    <w:rsid w:val="009F51EC"/>
    <w:rsid w:val="009F5488"/>
    <w:rsid w:val="009F5B70"/>
    <w:rsid w:val="009F60D5"/>
    <w:rsid w:val="009F61E2"/>
    <w:rsid w:val="009F6440"/>
    <w:rsid w:val="009F6B3A"/>
    <w:rsid w:val="009F6B4F"/>
    <w:rsid w:val="009F6BE0"/>
    <w:rsid w:val="009F77EA"/>
    <w:rsid w:val="009F78A3"/>
    <w:rsid w:val="009F7976"/>
    <w:rsid w:val="009F7A96"/>
    <w:rsid w:val="009F7D58"/>
    <w:rsid w:val="00A002C7"/>
    <w:rsid w:val="00A003C6"/>
    <w:rsid w:val="00A0047D"/>
    <w:rsid w:val="00A00523"/>
    <w:rsid w:val="00A00A9A"/>
    <w:rsid w:val="00A00B8F"/>
    <w:rsid w:val="00A0116B"/>
    <w:rsid w:val="00A01376"/>
    <w:rsid w:val="00A013A2"/>
    <w:rsid w:val="00A01616"/>
    <w:rsid w:val="00A0166F"/>
    <w:rsid w:val="00A01922"/>
    <w:rsid w:val="00A01A28"/>
    <w:rsid w:val="00A01AB2"/>
    <w:rsid w:val="00A01ADE"/>
    <w:rsid w:val="00A01B1F"/>
    <w:rsid w:val="00A01BB9"/>
    <w:rsid w:val="00A01C08"/>
    <w:rsid w:val="00A01FD5"/>
    <w:rsid w:val="00A0274E"/>
    <w:rsid w:val="00A0281D"/>
    <w:rsid w:val="00A02A47"/>
    <w:rsid w:val="00A02D6B"/>
    <w:rsid w:val="00A03292"/>
    <w:rsid w:val="00A0329A"/>
    <w:rsid w:val="00A03A68"/>
    <w:rsid w:val="00A03D3F"/>
    <w:rsid w:val="00A040BF"/>
    <w:rsid w:val="00A04151"/>
    <w:rsid w:val="00A04405"/>
    <w:rsid w:val="00A048AF"/>
    <w:rsid w:val="00A049D4"/>
    <w:rsid w:val="00A04A13"/>
    <w:rsid w:val="00A04AA0"/>
    <w:rsid w:val="00A04D65"/>
    <w:rsid w:val="00A04E7C"/>
    <w:rsid w:val="00A05051"/>
    <w:rsid w:val="00A050B1"/>
    <w:rsid w:val="00A056D4"/>
    <w:rsid w:val="00A057D8"/>
    <w:rsid w:val="00A0583B"/>
    <w:rsid w:val="00A0594E"/>
    <w:rsid w:val="00A05C7B"/>
    <w:rsid w:val="00A05D69"/>
    <w:rsid w:val="00A05F43"/>
    <w:rsid w:val="00A05F8D"/>
    <w:rsid w:val="00A06407"/>
    <w:rsid w:val="00A0669E"/>
    <w:rsid w:val="00A06CAA"/>
    <w:rsid w:val="00A071E8"/>
    <w:rsid w:val="00A0720E"/>
    <w:rsid w:val="00A07391"/>
    <w:rsid w:val="00A07A7A"/>
    <w:rsid w:val="00A101CA"/>
    <w:rsid w:val="00A10231"/>
    <w:rsid w:val="00A10415"/>
    <w:rsid w:val="00A107EB"/>
    <w:rsid w:val="00A1088C"/>
    <w:rsid w:val="00A108C2"/>
    <w:rsid w:val="00A1090B"/>
    <w:rsid w:val="00A109EB"/>
    <w:rsid w:val="00A10A9D"/>
    <w:rsid w:val="00A10E30"/>
    <w:rsid w:val="00A11284"/>
    <w:rsid w:val="00A1143C"/>
    <w:rsid w:val="00A1183E"/>
    <w:rsid w:val="00A11C15"/>
    <w:rsid w:val="00A12198"/>
    <w:rsid w:val="00A1229E"/>
    <w:rsid w:val="00A123C2"/>
    <w:rsid w:val="00A12C3D"/>
    <w:rsid w:val="00A12CDC"/>
    <w:rsid w:val="00A12D36"/>
    <w:rsid w:val="00A1309F"/>
    <w:rsid w:val="00A130D3"/>
    <w:rsid w:val="00A133D4"/>
    <w:rsid w:val="00A13453"/>
    <w:rsid w:val="00A136BE"/>
    <w:rsid w:val="00A13AC2"/>
    <w:rsid w:val="00A13DE2"/>
    <w:rsid w:val="00A140EF"/>
    <w:rsid w:val="00A14219"/>
    <w:rsid w:val="00A1459B"/>
    <w:rsid w:val="00A14633"/>
    <w:rsid w:val="00A1472A"/>
    <w:rsid w:val="00A14830"/>
    <w:rsid w:val="00A148DA"/>
    <w:rsid w:val="00A149DB"/>
    <w:rsid w:val="00A14B33"/>
    <w:rsid w:val="00A14BA0"/>
    <w:rsid w:val="00A1510B"/>
    <w:rsid w:val="00A152AB"/>
    <w:rsid w:val="00A15413"/>
    <w:rsid w:val="00A156AA"/>
    <w:rsid w:val="00A15C10"/>
    <w:rsid w:val="00A16161"/>
    <w:rsid w:val="00A161A8"/>
    <w:rsid w:val="00A1660A"/>
    <w:rsid w:val="00A168B2"/>
    <w:rsid w:val="00A16940"/>
    <w:rsid w:val="00A16BD0"/>
    <w:rsid w:val="00A16E5D"/>
    <w:rsid w:val="00A17153"/>
    <w:rsid w:val="00A1716C"/>
    <w:rsid w:val="00A17457"/>
    <w:rsid w:val="00A17529"/>
    <w:rsid w:val="00A1761C"/>
    <w:rsid w:val="00A178B8"/>
    <w:rsid w:val="00A178E6"/>
    <w:rsid w:val="00A17BB2"/>
    <w:rsid w:val="00A17D20"/>
    <w:rsid w:val="00A17FD2"/>
    <w:rsid w:val="00A2009F"/>
    <w:rsid w:val="00A2050E"/>
    <w:rsid w:val="00A2067F"/>
    <w:rsid w:val="00A20715"/>
    <w:rsid w:val="00A209AF"/>
    <w:rsid w:val="00A20A99"/>
    <w:rsid w:val="00A21500"/>
    <w:rsid w:val="00A216B5"/>
    <w:rsid w:val="00A21757"/>
    <w:rsid w:val="00A2179D"/>
    <w:rsid w:val="00A21D2F"/>
    <w:rsid w:val="00A21DEF"/>
    <w:rsid w:val="00A21E47"/>
    <w:rsid w:val="00A22202"/>
    <w:rsid w:val="00A22CF2"/>
    <w:rsid w:val="00A2324A"/>
    <w:rsid w:val="00A23B7E"/>
    <w:rsid w:val="00A23B8A"/>
    <w:rsid w:val="00A23D33"/>
    <w:rsid w:val="00A24395"/>
    <w:rsid w:val="00A24DC3"/>
    <w:rsid w:val="00A24E53"/>
    <w:rsid w:val="00A250D0"/>
    <w:rsid w:val="00A251E0"/>
    <w:rsid w:val="00A252A9"/>
    <w:rsid w:val="00A2638F"/>
    <w:rsid w:val="00A26A2D"/>
    <w:rsid w:val="00A26B0C"/>
    <w:rsid w:val="00A26D72"/>
    <w:rsid w:val="00A26EE6"/>
    <w:rsid w:val="00A27AA4"/>
    <w:rsid w:val="00A27B4F"/>
    <w:rsid w:val="00A27D00"/>
    <w:rsid w:val="00A27FBA"/>
    <w:rsid w:val="00A30F10"/>
    <w:rsid w:val="00A312A0"/>
    <w:rsid w:val="00A313A4"/>
    <w:rsid w:val="00A31CD1"/>
    <w:rsid w:val="00A323D0"/>
    <w:rsid w:val="00A32746"/>
    <w:rsid w:val="00A32899"/>
    <w:rsid w:val="00A32BD9"/>
    <w:rsid w:val="00A32DFA"/>
    <w:rsid w:val="00A33058"/>
    <w:rsid w:val="00A33757"/>
    <w:rsid w:val="00A33B10"/>
    <w:rsid w:val="00A33B4B"/>
    <w:rsid w:val="00A33E68"/>
    <w:rsid w:val="00A33F63"/>
    <w:rsid w:val="00A3424F"/>
    <w:rsid w:val="00A34494"/>
    <w:rsid w:val="00A34852"/>
    <w:rsid w:val="00A34F48"/>
    <w:rsid w:val="00A355BA"/>
    <w:rsid w:val="00A35F0A"/>
    <w:rsid w:val="00A36205"/>
    <w:rsid w:val="00A36790"/>
    <w:rsid w:val="00A36D2F"/>
    <w:rsid w:val="00A36E5D"/>
    <w:rsid w:val="00A36FE8"/>
    <w:rsid w:val="00A3723B"/>
    <w:rsid w:val="00A37694"/>
    <w:rsid w:val="00A37C01"/>
    <w:rsid w:val="00A37CBC"/>
    <w:rsid w:val="00A403AA"/>
    <w:rsid w:val="00A4041C"/>
    <w:rsid w:val="00A40494"/>
    <w:rsid w:val="00A40660"/>
    <w:rsid w:val="00A4067A"/>
    <w:rsid w:val="00A406D8"/>
    <w:rsid w:val="00A40DA2"/>
    <w:rsid w:val="00A41657"/>
    <w:rsid w:val="00A41669"/>
    <w:rsid w:val="00A41C1B"/>
    <w:rsid w:val="00A41D38"/>
    <w:rsid w:val="00A41FF6"/>
    <w:rsid w:val="00A4212F"/>
    <w:rsid w:val="00A42277"/>
    <w:rsid w:val="00A42371"/>
    <w:rsid w:val="00A42AA1"/>
    <w:rsid w:val="00A42D57"/>
    <w:rsid w:val="00A4302A"/>
    <w:rsid w:val="00A430A8"/>
    <w:rsid w:val="00A430C8"/>
    <w:rsid w:val="00A4335F"/>
    <w:rsid w:val="00A43573"/>
    <w:rsid w:val="00A435D5"/>
    <w:rsid w:val="00A43688"/>
    <w:rsid w:val="00A439DB"/>
    <w:rsid w:val="00A43B4B"/>
    <w:rsid w:val="00A43DCB"/>
    <w:rsid w:val="00A43E32"/>
    <w:rsid w:val="00A43ECF"/>
    <w:rsid w:val="00A43FA7"/>
    <w:rsid w:val="00A44262"/>
    <w:rsid w:val="00A444BE"/>
    <w:rsid w:val="00A444D4"/>
    <w:rsid w:val="00A4453F"/>
    <w:rsid w:val="00A445CE"/>
    <w:rsid w:val="00A448D9"/>
    <w:rsid w:val="00A4497D"/>
    <w:rsid w:val="00A44CA9"/>
    <w:rsid w:val="00A453F1"/>
    <w:rsid w:val="00A454F8"/>
    <w:rsid w:val="00A45518"/>
    <w:rsid w:val="00A455DD"/>
    <w:rsid w:val="00A45954"/>
    <w:rsid w:val="00A45B98"/>
    <w:rsid w:val="00A45C4F"/>
    <w:rsid w:val="00A45D28"/>
    <w:rsid w:val="00A4610C"/>
    <w:rsid w:val="00A461A5"/>
    <w:rsid w:val="00A466CE"/>
    <w:rsid w:val="00A46BC5"/>
    <w:rsid w:val="00A46D0B"/>
    <w:rsid w:val="00A46FA8"/>
    <w:rsid w:val="00A478A6"/>
    <w:rsid w:val="00A47A4B"/>
    <w:rsid w:val="00A47AA9"/>
    <w:rsid w:val="00A47C11"/>
    <w:rsid w:val="00A47C2E"/>
    <w:rsid w:val="00A47CF3"/>
    <w:rsid w:val="00A47E15"/>
    <w:rsid w:val="00A50386"/>
    <w:rsid w:val="00A5038B"/>
    <w:rsid w:val="00A503A5"/>
    <w:rsid w:val="00A504D4"/>
    <w:rsid w:val="00A509EB"/>
    <w:rsid w:val="00A50B94"/>
    <w:rsid w:val="00A50E07"/>
    <w:rsid w:val="00A51026"/>
    <w:rsid w:val="00A511C3"/>
    <w:rsid w:val="00A5141A"/>
    <w:rsid w:val="00A518DC"/>
    <w:rsid w:val="00A5203A"/>
    <w:rsid w:val="00A52151"/>
    <w:rsid w:val="00A53072"/>
    <w:rsid w:val="00A5393A"/>
    <w:rsid w:val="00A53C9A"/>
    <w:rsid w:val="00A53D5E"/>
    <w:rsid w:val="00A53FCA"/>
    <w:rsid w:val="00A540B3"/>
    <w:rsid w:val="00A54716"/>
    <w:rsid w:val="00A54BAA"/>
    <w:rsid w:val="00A55264"/>
    <w:rsid w:val="00A5533A"/>
    <w:rsid w:val="00A55466"/>
    <w:rsid w:val="00A55873"/>
    <w:rsid w:val="00A55A7D"/>
    <w:rsid w:val="00A55B6F"/>
    <w:rsid w:val="00A56050"/>
    <w:rsid w:val="00A560D5"/>
    <w:rsid w:val="00A562EC"/>
    <w:rsid w:val="00A5632E"/>
    <w:rsid w:val="00A568B0"/>
    <w:rsid w:val="00A569F2"/>
    <w:rsid w:val="00A56E35"/>
    <w:rsid w:val="00A573BE"/>
    <w:rsid w:val="00A57431"/>
    <w:rsid w:val="00A57451"/>
    <w:rsid w:val="00A57687"/>
    <w:rsid w:val="00A577CE"/>
    <w:rsid w:val="00A60108"/>
    <w:rsid w:val="00A601F2"/>
    <w:rsid w:val="00A60646"/>
    <w:rsid w:val="00A60BF2"/>
    <w:rsid w:val="00A60D66"/>
    <w:rsid w:val="00A61082"/>
    <w:rsid w:val="00A61146"/>
    <w:rsid w:val="00A611D2"/>
    <w:rsid w:val="00A6127D"/>
    <w:rsid w:val="00A613FB"/>
    <w:rsid w:val="00A615AE"/>
    <w:rsid w:val="00A61D02"/>
    <w:rsid w:val="00A62852"/>
    <w:rsid w:val="00A63076"/>
    <w:rsid w:val="00A6313A"/>
    <w:rsid w:val="00A6320C"/>
    <w:rsid w:val="00A6333A"/>
    <w:rsid w:val="00A633C6"/>
    <w:rsid w:val="00A633EA"/>
    <w:rsid w:val="00A636D4"/>
    <w:rsid w:val="00A637E1"/>
    <w:rsid w:val="00A63ABB"/>
    <w:rsid w:val="00A640F8"/>
    <w:rsid w:val="00A6425A"/>
    <w:rsid w:val="00A643E4"/>
    <w:rsid w:val="00A64670"/>
    <w:rsid w:val="00A646C4"/>
    <w:rsid w:val="00A64722"/>
    <w:rsid w:val="00A650DE"/>
    <w:rsid w:val="00A651FA"/>
    <w:rsid w:val="00A6526A"/>
    <w:rsid w:val="00A653D6"/>
    <w:rsid w:val="00A65541"/>
    <w:rsid w:val="00A65684"/>
    <w:rsid w:val="00A65A88"/>
    <w:rsid w:val="00A65C63"/>
    <w:rsid w:val="00A65D81"/>
    <w:rsid w:val="00A6634F"/>
    <w:rsid w:val="00A66409"/>
    <w:rsid w:val="00A664CC"/>
    <w:rsid w:val="00A66D14"/>
    <w:rsid w:val="00A6705F"/>
    <w:rsid w:val="00A6710F"/>
    <w:rsid w:val="00A67414"/>
    <w:rsid w:val="00A67482"/>
    <w:rsid w:val="00A675D7"/>
    <w:rsid w:val="00A67A3E"/>
    <w:rsid w:val="00A67B37"/>
    <w:rsid w:val="00A67BEE"/>
    <w:rsid w:val="00A67C76"/>
    <w:rsid w:val="00A67CBA"/>
    <w:rsid w:val="00A67D33"/>
    <w:rsid w:val="00A70207"/>
    <w:rsid w:val="00A703D5"/>
    <w:rsid w:val="00A706D2"/>
    <w:rsid w:val="00A70985"/>
    <w:rsid w:val="00A70BA6"/>
    <w:rsid w:val="00A70C01"/>
    <w:rsid w:val="00A70C53"/>
    <w:rsid w:val="00A711D4"/>
    <w:rsid w:val="00A7169E"/>
    <w:rsid w:val="00A7186C"/>
    <w:rsid w:val="00A71B79"/>
    <w:rsid w:val="00A71C56"/>
    <w:rsid w:val="00A71D3E"/>
    <w:rsid w:val="00A72144"/>
    <w:rsid w:val="00A72191"/>
    <w:rsid w:val="00A724E1"/>
    <w:rsid w:val="00A725D6"/>
    <w:rsid w:val="00A725E6"/>
    <w:rsid w:val="00A726EE"/>
    <w:rsid w:val="00A72D10"/>
    <w:rsid w:val="00A72E82"/>
    <w:rsid w:val="00A72EB5"/>
    <w:rsid w:val="00A72F7D"/>
    <w:rsid w:val="00A73143"/>
    <w:rsid w:val="00A7317A"/>
    <w:rsid w:val="00A7318A"/>
    <w:rsid w:val="00A733EE"/>
    <w:rsid w:val="00A73622"/>
    <w:rsid w:val="00A73944"/>
    <w:rsid w:val="00A73CE5"/>
    <w:rsid w:val="00A73DC1"/>
    <w:rsid w:val="00A7407E"/>
    <w:rsid w:val="00A742A8"/>
    <w:rsid w:val="00A74314"/>
    <w:rsid w:val="00A74406"/>
    <w:rsid w:val="00A744BD"/>
    <w:rsid w:val="00A748AB"/>
    <w:rsid w:val="00A748E5"/>
    <w:rsid w:val="00A74E50"/>
    <w:rsid w:val="00A75343"/>
    <w:rsid w:val="00A75783"/>
    <w:rsid w:val="00A758E8"/>
    <w:rsid w:val="00A75BAD"/>
    <w:rsid w:val="00A75D50"/>
    <w:rsid w:val="00A7682A"/>
    <w:rsid w:val="00A76BD8"/>
    <w:rsid w:val="00A772F7"/>
    <w:rsid w:val="00A7751B"/>
    <w:rsid w:val="00A777F7"/>
    <w:rsid w:val="00A77B88"/>
    <w:rsid w:val="00A77E07"/>
    <w:rsid w:val="00A80B0F"/>
    <w:rsid w:val="00A80B86"/>
    <w:rsid w:val="00A80DD3"/>
    <w:rsid w:val="00A8110F"/>
    <w:rsid w:val="00A8137D"/>
    <w:rsid w:val="00A82002"/>
    <w:rsid w:val="00A82078"/>
    <w:rsid w:val="00A82097"/>
    <w:rsid w:val="00A827CF"/>
    <w:rsid w:val="00A82897"/>
    <w:rsid w:val="00A82CCA"/>
    <w:rsid w:val="00A83024"/>
    <w:rsid w:val="00A833BF"/>
    <w:rsid w:val="00A833E8"/>
    <w:rsid w:val="00A83490"/>
    <w:rsid w:val="00A83BEF"/>
    <w:rsid w:val="00A83CF1"/>
    <w:rsid w:val="00A8421C"/>
    <w:rsid w:val="00A84545"/>
    <w:rsid w:val="00A84907"/>
    <w:rsid w:val="00A849DB"/>
    <w:rsid w:val="00A84F57"/>
    <w:rsid w:val="00A853D4"/>
    <w:rsid w:val="00A854D0"/>
    <w:rsid w:val="00A857B1"/>
    <w:rsid w:val="00A85CBB"/>
    <w:rsid w:val="00A85E51"/>
    <w:rsid w:val="00A85EBC"/>
    <w:rsid w:val="00A85EED"/>
    <w:rsid w:val="00A86190"/>
    <w:rsid w:val="00A8623E"/>
    <w:rsid w:val="00A86268"/>
    <w:rsid w:val="00A868F4"/>
    <w:rsid w:val="00A86FE8"/>
    <w:rsid w:val="00A871B7"/>
    <w:rsid w:val="00A8745B"/>
    <w:rsid w:val="00A87595"/>
    <w:rsid w:val="00A875C0"/>
    <w:rsid w:val="00A87745"/>
    <w:rsid w:val="00A878EE"/>
    <w:rsid w:val="00A87AD7"/>
    <w:rsid w:val="00A87B47"/>
    <w:rsid w:val="00A87B99"/>
    <w:rsid w:val="00A90060"/>
    <w:rsid w:val="00A900EE"/>
    <w:rsid w:val="00A9028C"/>
    <w:rsid w:val="00A903E6"/>
    <w:rsid w:val="00A90755"/>
    <w:rsid w:val="00A9080D"/>
    <w:rsid w:val="00A9091C"/>
    <w:rsid w:val="00A909AC"/>
    <w:rsid w:val="00A90CB1"/>
    <w:rsid w:val="00A90EA0"/>
    <w:rsid w:val="00A90F00"/>
    <w:rsid w:val="00A91106"/>
    <w:rsid w:val="00A9116D"/>
    <w:rsid w:val="00A9140D"/>
    <w:rsid w:val="00A91740"/>
    <w:rsid w:val="00A91889"/>
    <w:rsid w:val="00A91E1D"/>
    <w:rsid w:val="00A91E4C"/>
    <w:rsid w:val="00A92933"/>
    <w:rsid w:val="00A92AD4"/>
    <w:rsid w:val="00A92C0F"/>
    <w:rsid w:val="00A92C6D"/>
    <w:rsid w:val="00A92DC2"/>
    <w:rsid w:val="00A930BF"/>
    <w:rsid w:val="00A93770"/>
    <w:rsid w:val="00A93DDC"/>
    <w:rsid w:val="00A93E15"/>
    <w:rsid w:val="00A941A0"/>
    <w:rsid w:val="00A943A0"/>
    <w:rsid w:val="00A9475E"/>
    <w:rsid w:val="00A94767"/>
    <w:rsid w:val="00A94ED2"/>
    <w:rsid w:val="00A950FC"/>
    <w:rsid w:val="00A9522D"/>
    <w:rsid w:val="00A95511"/>
    <w:rsid w:val="00A956FA"/>
    <w:rsid w:val="00A958C5"/>
    <w:rsid w:val="00A95E18"/>
    <w:rsid w:val="00A95FB8"/>
    <w:rsid w:val="00A96045"/>
    <w:rsid w:val="00A9625E"/>
    <w:rsid w:val="00A963E9"/>
    <w:rsid w:val="00A9650B"/>
    <w:rsid w:val="00A966F5"/>
    <w:rsid w:val="00A96728"/>
    <w:rsid w:val="00A968E5"/>
    <w:rsid w:val="00A9704E"/>
    <w:rsid w:val="00A9739C"/>
    <w:rsid w:val="00A9741E"/>
    <w:rsid w:val="00A9742E"/>
    <w:rsid w:val="00AA004B"/>
    <w:rsid w:val="00AA0205"/>
    <w:rsid w:val="00AA0246"/>
    <w:rsid w:val="00AA03A9"/>
    <w:rsid w:val="00AA041F"/>
    <w:rsid w:val="00AA0505"/>
    <w:rsid w:val="00AA057F"/>
    <w:rsid w:val="00AA0620"/>
    <w:rsid w:val="00AA0897"/>
    <w:rsid w:val="00AA0F2E"/>
    <w:rsid w:val="00AA12F2"/>
    <w:rsid w:val="00AA1336"/>
    <w:rsid w:val="00AA13AF"/>
    <w:rsid w:val="00AA14AE"/>
    <w:rsid w:val="00AA14CE"/>
    <w:rsid w:val="00AA14F8"/>
    <w:rsid w:val="00AA1855"/>
    <w:rsid w:val="00AA18C0"/>
    <w:rsid w:val="00AA1967"/>
    <w:rsid w:val="00AA1CD3"/>
    <w:rsid w:val="00AA1D23"/>
    <w:rsid w:val="00AA209C"/>
    <w:rsid w:val="00AA21F1"/>
    <w:rsid w:val="00AA26B4"/>
    <w:rsid w:val="00AA29D5"/>
    <w:rsid w:val="00AA2FA6"/>
    <w:rsid w:val="00AA30ED"/>
    <w:rsid w:val="00AA383A"/>
    <w:rsid w:val="00AA3926"/>
    <w:rsid w:val="00AA3A25"/>
    <w:rsid w:val="00AA3A2D"/>
    <w:rsid w:val="00AA3E9A"/>
    <w:rsid w:val="00AA4324"/>
    <w:rsid w:val="00AA4496"/>
    <w:rsid w:val="00AA4C69"/>
    <w:rsid w:val="00AA4CBD"/>
    <w:rsid w:val="00AA4FEF"/>
    <w:rsid w:val="00AA5050"/>
    <w:rsid w:val="00AA5317"/>
    <w:rsid w:val="00AA6166"/>
    <w:rsid w:val="00AA7084"/>
    <w:rsid w:val="00AA719B"/>
    <w:rsid w:val="00AA71E2"/>
    <w:rsid w:val="00AA745E"/>
    <w:rsid w:val="00AA7852"/>
    <w:rsid w:val="00AA78FB"/>
    <w:rsid w:val="00AA7A96"/>
    <w:rsid w:val="00AB0098"/>
    <w:rsid w:val="00AB02FD"/>
    <w:rsid w:val="00AB050A"/>
    <w:rsid w:val="00AB0E4A"/>
    <w:rsid w:val="00AB0F4B"/>
    <w:rsid w:val="00AB100E"/>
    <w:rsid w:val="00AB1028"/>
    <w:rsid w:val="00AB1290"/>
    <w:rsid w:val="00AB1676"/>
    <w:rsid w:val="00AB17B1"/>
    <w:rsid w:val="00AB187C"/>
    <w:rsid w:val="00AB19D6"/>
    <w:rsid w:val="00AB1DFB"/>
    <w:rsid w:val="00AB2018"/>
    <w:rsid w:val="00AB2143"/>
    <w:rsid w:val="00AB279A"/>
    <w:rsid w:val="00AB2A66"/>
    <w:rsid w:val="00AB2B19"/>
    <w:rsid w:val="00AB2B2E"/>
    <w:rsid w:val="00AB2CE3"/>
    <w:rsid w:val="00AB31CA"/>
    <w:rsid w:val="00AB34D8"/>
    <w:rsid w:val="00AB35D1"/>
    <w:rsid w:val="00AB4001"/>
    <w:rsid w:val="00AB4258"/>
    <w:rsid w:val="00AB42BA"/>
    <w:rsid w:val="00AB42D2"/>
    <w:rsid w:val="00AB4468"/>
    <w:rsid w:val="00AB4595"/>
    <w:rsid w:val="00AB4632"/>
    <w:rsid w:val="00AB4959"/>
    <w:rsid w:val="00AB4B03"/>
    <w:rsid w:val="00AB4BDA"/>
    <w:rsid w:val="00AB4CF4"/>
    <w:rsid w:val="00AB4EAA"/>
    <w:rsid w:val="00AB4EC2"/>
    <w:rsid w:val="00AB5784"/>
    <w:rsid w:val="00AB6262"/>
    <w:rsid w:val="00AB63A5"/>
    <w:rsid w:val="00AB6965"/>
    <w:rsid w:val="00AB6B14"/>
    <w:rsid w:val="00AB746A"/>
    <w:rsid w:val="00AB79D6"/>
    <w:rsid w:val="00AC0366"/>
    <w:rsid w:val="00AC0846"/>
    <w:rsid w:val="00AC0A8F"/>
    <w:rsid w:val="00AC1151"/>
    <w:rsid w:val="00AC1399"/>
    <w:rsid w:val="00AC14D6"/>
    <w:rsid w:val="00AC155A"/>
    <w:rsid w:val="00AC1B37"/>
    <w:rsid w:val="00AC2772"/>
    <w:rsid w:val="00AC27CF"/>
    <w:rsid w:val="00AC2943"/>
    <w:rsid w:val="00AC2C7E"/>
    <w:rsid w:val="00AC2D16"/>
    <w:rsid w:val="00AC311B"/>
    <w:rsid w:val="00AC33C4"/>
    <w:rsid w:val="00AC3468"/>
    <w:rsid w:val="00AC34B1"/>
    <w:rsid w:val="00AC3954"/>
    <w:rsid w:val="00AC3A76"/>
    <w:rsid w:val="00AC3AEA"/>
    <w:rsid w:val="00AC3D89"/>
    <w:rsid w:val="00AC3DD5"/>
    <w:rsid w:val="00AC3DF0"/>
    <w:rsid w:val="00AC3E69"/>
    <w:rsid w:val="00AC3E6D"/>
    <w:rsid w:val="00AC3F0F"/>
    <w:rsid w:val="00AC3FF5"/>
    <w:rsid w:val="00AC43B3"/>
    <w:rsid w:val="00AC43E2"/>
    <w:rsid w:val="00AC48F4"/>
    <w:rsid w:val="00AC4B13"/>
    <w:rsid w:val="00AC4D07"/>
    <w:rsid w:val="00AC4FE6"/>
    <w:rsid w:val="00AC5439"/>
    <w:rsid w:val="00AC553E"/>
    <w:rsid w:val="00AC5708"/>
    <w:rsid w:val="00AC59B8"/>
    <w:rsid w:val="00AC5B60"/>
    <w:rsid w:val="00AC5B82"/>
    <w:rsid w:val="00AC5C12"/>
    <w:rsid w:val="00AC5D33"/>
    <w:rsid w:val="00AC5EAF"/>
    <w:rsid w:val="00AC5F19"/>
    <w:rsid w:val="00AC6355"/>
    <w:rsid w:val="00AC648E"/>
    <w:rsid w:val="00AC681C"/>
    <w:rsid w:val="00AC6860"/>
    <w:rsid w:val="00AC69AA"/>
    <w:rsid w:val="00AC6B0F"/>
    <w:rsid w:val="00AC6E30"/>
    <w:rsid w:val="00AC6F3C"/>
    <w:rsid w:val="00AC707C"/>
    <w:rsid w:val="00AC7354"/>
    <w:rsid w:val="00AC75C8"/>
    <w:rsid w:val="00AC7962"/>
    <w:rsid w:val="00AC79AB"/>
    <w:rsid w:val="00AD0119"/>
    <w:rsid w:val="00AD0385"/>
    <w:rsid w:val="00AD05AA"/>
    <w:rsid w:val="00AD0855"/>
    <w:rsid w:val="00AD0A23"/>
    <w:rsid w:val="00AD0B86"/>
    <w:rsid w:val="00AD0DB4"/>
    <w:rsid w:val="00AD0E90"/>
    <w:rsid w:val="00AD0EFE"/>
    <w:rsid w:val="00AD105F"/>
    <w:rsid w:val="00AD10BE"/>
    <w:rsid w:val="00AD10D7"/>
    <w:rsid w:val="00AD125E"/>
    <w:rsid w:val="00AD17BF"/>
    <w:rsid w:val="00AD1A37"/>
    <w:rsid w:val="00AD2583"/>
    <w:rsid w:val="00AD264A"/>
    <w:rsid w:val="00AD2803"/>
    <w:rsid w:val="00AD305A"/>
    <w:rsid w:val="00AD31EE"/>
    <w:rsid w:val="00AD342B"/>
    <w:rsid w:val="00AD369F"/>
    <w:rsid w:val="00AD36DF"/>
    <w:rsid w:val="00AD37AB"/>
    <w:rsid w:val="00AD3AD3"/>
    <w:rsid w:val="00AD3D03"/>
    <w:rsid w:val="00AD4039"/>
    <w:rsid w:val="00AD40B5"/>
    <w:rsid w:val="00AD4182"/>
    <w:rsid w:val="00AD41D8"/>
    <w:rsid w:val="00AD459E"/>
    <w:rsid w:val="00AD4D39"/>
    <w:rsid w:val="00AD4E21"/>
    <w:rsid w:val="00AD5536"/>
    <w:rsid w:val="00AD56D0"/>
    <w:rsid w:val="00AD5AFA"/>
    <w:rsid w:val="00AD60AA"/>
    <w:rsid w:val="00AD611C"/>
    <w:rsid w:val="00AD636E"/>
    <w:rsid w:val="00AD6665"/>
    <w:rsid w:val="00AD6BC7"/>
    <w:rsid w:val="00AD7208"/>
    <w:rsid w:val="00AD7605"/>
    <w:rsid w:val="00AD7783"/>
    <w:rsid w:val="00AE006D"/>
    <w:rsid w:val="00AE0231"/>
    <w:rsid w:val="00AE0349"/>
    <w:rsid w:val="00AE043B"/>
    <w:rsid w:val="00AE0981"/>
    <w:rsid w:val="00AE0D57"/>
    <w:rsid w:val="00AE0DDC"/>
    <w:rsid w:val="00AE0E9E"/>
    <w:rsid w:val="00AE0F29"/>
    <w:rsid w:val="00AE0F7A"/>
    <w:rsid w:val="00AE10FF"/>
    <w:rsid w:val="00AE120D"/>
    <w:rsid w:val="00AE128C"/>
    <w:rsid w:val="00AE177A"/>
    <w:rsid w:val="00AE17A7"/>
    <w:rsid w:val="00AE1847"/>
    <w:rsid w:val="00AE1871"/>
    <w:rsid w:val="00AE1952"/>
    <w:rsid w:val="00AE1E74"/>
    <w:rsid w:val="00AE205D"/>
    <w:rsid w:val="00AE244D"/>
    <w:rsid w:val="00AE2451"/>
    <w:rsid w:val="00AE274A"/>
    <w:rsid w:val="00AE2970"/>
    <w:rsid w:val="00AE29CC"/>
    <w:rsid w:val="00AE2AE9"/>
    <w:rsid w:val="00AE2C18"/>
    <w:rsid w:val="00AE3A25"/>
    <w:rsid w:val="00AE3B3D"/>
    <w:rsid w:val="00AE3E1F"/>
    <w:rsid w:val="00AE3F09"/>
    <w:rsid w:val="00AE40D1"/>
    <w:rsid w:val="00AE427A"/>
    <w:rsid w:val="00AE42A3"/>
    <w:rsid w:val="00AE43BF"/>
    <w:rsid w:val="00AE4455"/>
    <w:rsid w:val="00AE4540"/>
    <w:rsid w:val="00AE4A25"/>
    <w:rsid w:val="00AE4A84"/>
    <w:rsid w:val="00AE4B38"/>
    <w:rsid w:val="00AE4BCA"/>
    <w:rsid w:val="00AE4EB7"/>
    <w:rsid w:val="00AE52E3"/>
    <w:rsid w:val="00AE5924"/>
    <w:rsid w:val="00AE5F54"/>
    <w:rsid w:val="00AE6060"/>
    <w:rsid w:val="00AE64E1"/>
    <w:rsid w:val="00AE67F4"/>
    <w:rsid w:val="00AE68ED"/>
    <w:rsid w:val="00AE691F"/>
    <w:rsid w:val="00AE6B6F"/>
    <w:rsid w:val="00AE75C0"/>
    <w:rsid w:val="00AE7830"/>
    <w:rsid w:val="00AE791B"/>
    <w:rsid w:val="00AE7D24"/>
    <w:rsid w:val="00AF0350"/>
    <w:rsid w:val="00AF09CD"/>
    <w:rsid w:val="00AF09E0"/>
    <w:rsid w:val="00AF0A35"/>
    <w:rsid w:val="00AF0B3D"/>
    <w:rsid w:val="00AF0C68"/>
    <w:rsid w:val="00AF1315"/>
    <w:rsid w:val="00AF13DD"/>
    <w:rsid w:val="00AF14DA"/>
    <w:rsid w:val="00AF17D4"/>
    <w:rsid w:val="00AF17E1"/>
    <w:rsid w:val="00AF186F"/>
    <w:rsid w:val="00AF1BD4"/>
    <w:rsid w:val="00AF1D13"/>
    <w:rsid w:val="00AF1FA3"/>
    <w:rsid w:val="00AF2085"/>
    <w:rsid w:val="00AF2231"/>
    <w:rsid w:val="00AF2524"/>
    <w:rsid w:val="00AF29BA"/>
    <w:rsid w:val="00AF2A8F"/>
    <w:rsid w:val="00AF2ADD"/>
    <w:rsid w:val="00AF2D12"/>
    <w:rsid w:val="00AF30ED"/>
    <w:rsid w:val="00AF315E"/>
    <w:rsid w:val="00AF3238"/>
    <w:rsid w:val="00AF3361"/>
    <w:rsid w:val="00AF3529"/>
    <w:rsid w:val="00AF3683"/>
    <w:rsid w:val="00AF38C8"/>
    <w:rsid w:val="00AF3A84"/>
    <w:rsid w:val="00AF3F0F"/>
    <w:rsid w:val="00AF41EE"/>
    <w:rsid w:val="00AF4807"/>
    <w:rsid w:val="00AF4818"/>
    <w:rsid w:val="00AF4E9F"/>
    <w:rsid w:val="00AF4F1E"/>
    <w:rsid w:val="00AF51A5"/>
    <w:rsid w:val="00AF527B"/>
    <w:rsid w:val="00AF5B56"/>
    <w:rsid w:val="00AF5D99"/>
    <w:rsid w:val="00AF6230"/>
    <w:rsid w:val="00AF62EB"/>
    <w:rsid w:val="00AF640C"/>
    <w:rsid w:val="00AF643A"/>
    <w:rsid w:val="00AF6557"/>
    <w:rsid w:val="00AF655B"/>
    <w:rsid w:val="00AF656B"/>
    <w:rsid w:val="00AF6735"/>
    <w:rsid w:val="00AF6C42"/>
    <w:rsid w:val="00AF6DBF"/>
    <w:rsid w:val="00AF6E57"/>
    <w:rsid w:val="00AF7052"/>
    <w:rsid w:val="00AF7249"/>
    <w:rsid w:val="00AF76B5"/>
    <w:rsid w:val="00AF778C"/>
    <w:rsid w:val="00AF79C3"/>
    <w:rsid w:val="00AF7C40"/>
    <w:rsid w:val="00AF7C85"/>
    <w:rsid w:val="00AF7CBE"/>
    <w:rsid w:val="00AF7DD1"/>
    <w:rsid w:val="00B0080E"/>
    <w:rsid w:val="00B00ABB"/>
    <w:rsid w:val="00B00D34"/>
    <w:rsid w:val="00B00F60"/>
    <w:rsid w:val="00B01045"/>
    <w:rsid w:val="00B01082"/>
    <w:rsid w:val="00B0112A"/>
    <w:rsid w:val="00B01682"/>
    <w:rsid w:val="00B01887"/>
    <w:rsid w:val="00B0189D"/>
    <w:rsid w:val="00B01D31"/>
    <w:rsid w:val="00B01EB6"/>
    <w:rsid w:val="00B01F1D"/>
    <w:rsid w:val="00B02054"/>
    <w:rsid w:val="00B02243"/>
    <w:rsid w:val="00B026F6"/>
    <w:rsid w:val="00B02957"/>
    <w:rsid w:val="00B02B83"/>
    <w:rsid w:val="00B02BCC"/>
    <w:rsid w:val="00B02BCF"/>
    <w:rsid w:val="00B02CF0"/>
    <w:rsid w:val="00B02D52"/>
    <w:rsid w:val="00B03550"/>
    <w:rsid w:val="00B036AB"/>
    <w:rsid w:val="00B037B0"/>
    <w:rsid w:val="00B03D13"/>
    <w:rsid w:val="00B03D4E"/>
    <w:rsid w:val="00B03E15"/>
    <w:rsid w:val="00B040AB"/>
    <w:rsid w:val="00B04419"/>
    <w:rsid w:val="00B04433"/>
    <w:rsid w:val="00B0496E"/>
    <w:rsid w:val="00B049DB"/>
    <w:rsid w:val="00B04AA1"/>
    <w:rsid w:val="00B04AF2"/>
    <w:rsid w:val="00B04B70"/>
    <w:rsid w:val="00B04EE4"/>
    <w:rsid w:val="00B04F26"/>
    <w:rsid w:val="00B0502C"/>
    <w:rsid w:val="00B051A2"/>
    <w:rsid w:val="00B05539"/>
    <w:rsid w:val="00B0554F"/>
    <w:rsid w:val="00B059A7"/>
    <w:rsid w:val="00B05FB4"/>
    <w:rsid w:val="00B06867"/>
    <w:rsid w:val="00B06C7B"/>
    <w:rsid w:val="00B06E9B"/>
    <w:rsid w:val="00B0737C"/>
    <w:rsid w:val="00B0743A"/>
    <w:rsid w:val="00B0746B"/>
    <w:rsid w:val="00B07681"/>
    <w:rsid w:val="00B079B1"/>
    <w:rsid w:val="00B07A3F"/>
    <w:rsid w:val="00B07AD6"/>
    <w:rsid w:val="00B07AE2"/>
    <w:rsid w:val="00B07C78"/>
    <w:rsid w:val="00B07C7C"/>
    <w:rsid w:val="00B07CA9"/>
    <w:rsid w:val="00B103C5"/>
    <w:rsid w:val="00B1103F"/>
    <w:rsid w:val="00B113EC"/>
    <w:rsid w:val="00B114FE"/>
    <w:rsid w:val="00B11C3E"/>
    <w:rsid w:val="00B11DA0"/>
    <w:rsid w:val="00B11EFB"/>
    <w:rsid w:val="00B1200C"/>
    <w:rsid w:val="00B122C4"/>
    <w:rsid w:val="00B12337"/>
    <w:rsid w:val="00B123A2"/>
    <w:rsid w:val="00B128A0"/>
    <w:rsid w:val="00B12A11"/>
    <w:rsid w:val="00B12DEF"/>
    <w:rsid w:val="00B12FC3"/>
    <w:rsid w:val="00B13278"/>
    <w:rsid w:val="00B13574"/>
    <w:rsid w:val="00B13A35"/>
    <w:rsid w:val="00B13A58"/>
    <w:rsid w:val="00B142FC"/>
    <w:rsid w:val="00B14309"/>
    <w:rsid w:val="00B1457B"/>
    <w:rsid w:val="00B146A3"/>
    <w:rsid w:val="00B14A77"/>
    <w:rsid w:val="00B14F6F"/>
    <w:rsid w:val="00B152CE"/>
    <w:rsid w:val="00B15C3A"/>
    <w:rsid w:val="00B15EAD"/>
    <w:rsid w:val="00B15F3E"/>
    <w:rsid w:val="00B16441"/>
    <w:rsid w:val="00B16582"/>
    <w:rsid w:val="00B16740"/>
    <w:rsid w:val="00B16BCB"/>
    <w:rsid w:val="00B171C3"/>
    <w:rsid w:val="00B17903"/>
    <w:rsid w:val="00B17BE1"/>
    <w:rsid w:val="00B17C43"/>
    <w:rsid w:val="00B17F16"/>
    <w:rsid w:val="00B20012"/>
    <w:rsid w:val="00B20824"/>
    <w:rsid w:val="00B20D71"/>
    <w:rsid w:val="00B20D8B"/>
    <w:rsid w:val="00B20E60"/>
    <w:rsid w:val="00B214EB"/>
    <w:rsid w:val="00B214FC"/>
    <w:rsid w:val="00B2154C"/>
    <w:rsid w:val="00B216CD"/>
    <w:rsid w:val="00B21761"/>
    <w:rsid w:val="00B217C4"/>
    <w:rsid w:val="00B21F81"/>
    <w:rsid w:val="00B221CB"/>
    <w:rsid w:val="00B2249D"/>
    <w:rsid w:val="00B226D7"/>
    <w:rsid w:val="00B22A48"/>
    <w:rsid w:val="00B22ABB"/>
    <w:rsid w:val="00B22B86"/>
    <w:rsid w:val="00B22B9E"/>
    <w:rsid w:val="00B22F46"/>
    <w:rsid w:val="00B23046"/>
    <w:rsid w:val="00B2343B"/>
    <w:rsid w:val="00B23712"/>
    <w:rsid w:val="00B23981"/>
    <w:rsid w:val="00B239AF"/>
    <w:rsid w:val="00B23D75"/>
    <w:rsid w:val="00B247DC"/>
    <w:rsid w:val="00B25287"/>
    <w:rsid w:val="00B252E0"/>
    <w:rsid w:val="00B25469"/>
    <w:rsid w:val="00B255D9"/>
    <w:rsid w:val="00B25939"/>
    <w:rsid w:val="00B2604F"/>
    <w:rsid w:val="00B2687C"/>
    <w:rsid w:val="00B26DC8"/>
    <w:rsid w:val="00B27484"/>
    <w:rsid w:val="00B27CFC"/>
    <w:rsid w:val="00B27EBE"/>
    <w:rsid w:val="00B3018B"/>
    <w:rsid w:val="00B30226"/>
    <w:rsid w:val="00B30266"/>
    <w:rsid w:val="00B3048B"/>
    <w:rsid w:val="00B304C8"/>
    <w:rsid w:val="00B30901"/>
    <w:rsid w:val="00B30C25"/>
    <w:rsid w:val="00B30D1D"/>
    <w:rsid w:val="00B310E0"/>
    <w:rsid w:val="00B31325"/>
    <w:rsid w:val="00B31B53"/>
    <w:rsid w:val="00B31DB5"/>
    <w:rsid w:val="00B32D44"/>
    <w:rsid w:val="00B330A6"/>
    <w:rsid w:val="00B3311D"/>
    <w:rsid w:val="00B3322B"/>
    <w:rsid w:val="00B333F7"/>
    <w:rsid w:val="00B335F8"/>
    <w:rsid w:val="00B3393C"/>
    <w:rsid w:val="00B33F9B"/>
    <w:rsid w:val="00B34292"/>
    <w:rsid w:val="00B345C7"/>
    <w:rsid w:val="00B346B5"/>
    <w:rsid w:val="00B34740"/>
    <w:rsid w:val="00B3499D"/>
    <w:rsid w:val="00B349F2"/>
    <w:rsid w:val="00B3501D"/>
    <w:rsid w:val="00B353D0"/>
    <w:rsid w:val="00B35D18"/>
    <w:rsid w:val="00B35DF5"/>
    <w:rsid w:val="00B36003"/>
    <w:rsid w:val="00B36321"/>
    <w:rsid w:val="00B36433"/>
    <w:rsid w:val="00B36AA3"/>
    <w:rsid w:val="00B36BE4"/>
    <w:rsid w:val="00B36D47"/>
    <w:rsid w:val="00B36E68"/>
    <w:rsid w:val="00B36ED1"/>
    <w:rsid w:val="00B3730B"/>
    <w:rsid w:val="00B375D3"/>
    <w:rsid w:val="00B3774D"/>
    <w:rsid w:val="00B37777"/>
    <w:rsid w:val="00B37DF3"/>
    <w:rsid w:val="00B40013"/>
    <w:rsid w:val="00B4038C"/>
    <w:rsid w:val="00B41405"/>
    <w:rsid w:val="00B419B7"/>
    <w:rsid w:val="00B41DFC"/>
    <w:rsid w:val="00B41EF7"/>
    <w:rsid w:val="00B41FF0"/>
    <w:rsid w:val="00B4201A"/>
    <w:rsid w:val="00B42635"/>
    <w:rsid w:val="00B4273E"/>
    <w:rsid w:val="00B42ABE"/>
    <w:rsid w:val="00B42B41"/>
    <w:rsid w:val="00B42DC2"/>
    <w:rsid w:val="00B42E00"/>
    <w:rsid w:val="00B438C4"/>
    <w:rsid w:val="00B43996"/>
    <w:rsid w:val="00B43B8B"/>
    <w:rsid w:val="00B43F36"/>
    <w:rsid w:val="00B44199"/>
    <w:rsid w:val="00B441BD"/>
    <w:rsid w:val="00B4427E"/>
    <w:rsid w:val="00B44479"/>
    <w:rsid w:val="00B447B4"/>
    <w:rsid w:val="00B44811"/>
    <w:rsid w:val="00B44829"/>
    <w:rsid w:val="00B44B45"/>
    <w:rsid w:val="00B45238"/>
    <w:rsid w:val="00B45504"/>
    <w:rsid w:val="00B456C3"/>
    <w:rsid w:val="00B4586B"/>
    <w:rsid w:val="00B45A0F"/>
    <w:rsid w:val="00B45E71"/>
    <w:rsid w:val="00B45EF0"/>
    <w:rsid w:val="00B46D6B"/>
    <w:rsid w:val="00B46D85"/>
    <w:rsid w:val="00B46E3F"/>
    <w:rsid w:val="00B46F9B"/>
    <w:rsid w:val="00B47198"/>
    <w:rsid w:val="00B471CA"/>
    <w:rsid w:val="00B47217"/>
    <w:rsid w:val="00B47371"/>
    <w:rsid w:val="00B4738F"/>
    <w:rsid w:val="00B47713"/>
    <w:rsid w:val="00B4793C"/>
    <w:rsid w:val="00B47969"/>
    <w:rsid w:val="00B47A7E"/>
    <w:rsid w:val="00B47BEE"/>
    <w:rsid w:val="00B47D05"/>
    <w:rsid w:val="00B5037E"/>
    <w:rsid w:val="00B505A8"/>
    <w:rsid w:val="00B5077D"/>
    <w:rsid w:val="00B50D3D"/>
    <w:rsid w:val="00B50E6F"/>
    <w:rsid w:val="00B511C4"/>
    <w:rsid w:val="00B5137D"/>
    <w:rsid w:val="00B514B6"/>
    <w:rsid w:val="00B51B78"/>
    <w:rsid w:val="00B51D4B"/>
    <w:rsid w:val="00B51DB2"/>
    <w:rsid w:val="00B51E3F"/>
    <w:rsid w:val="00B51E47"/>
    <w:rsid w:val="00B51F40"/>
    <w:rsid w:val="00B52369"/>
    <w:rsid w:val="00B52BF3"/>
    <w:rsid w:val="00B52FE8"/>
    <w:rsid w:val="00B53488"/>
    <w:rsid w:val="00B53491"/>
    <w:rsid w:val="00B5364E"/>
    <w:rsid w:val="00B53664"/>
    <w:rsid w:val="00B5409E"/>
    <w:rsid w:val="00B540AA"/>
    <w:rsid w:val="00B5457D"/>
    <w:rsid w:val="00B54676"/>
    <w:rsid w:val="00B54D70"/>
    <w:rsid w:val="00B54F40"/>
    <w:rsid w:val="00B55694"/>
    <w:rsid w:val="00B55798"/>
    <w:rsid w:val="00B55B1D"/>
    <w:rsid w:val="00B55FB8"/>
    <w:rsid w:val="00B5608F"/>
    <w:rsid w:val="00B56149"/>
    <w:rsid w:val="00B56427"/>
    <w:rsid w:val="00B56653"/>
    <w:rsid w:val="00B56899"/>
    <w:rsid w:val="00B56F47"/>
    <w:rsid w:val="00B57468"/>
    <w:rsid w:val="00B57F24"/>
    <w:rsid w:val="00B600F8"/>
    <w:rsid w:val="00B603E2"/>
    <w:rsid w:val="00B60438"/>
    <w:rsid w:val="00B60909"/>
    <w:rsid w:val="00B60A0B"/>
    <w:rsid w:val="00B60F10"/>
    <w:rsid w:val="00B611EE"/>
    <w:rsid w:val="00B6124A"/>
    <w:rsid w:val="00B612E9"/>
    <w:rsid w:val="00B613E2"/>
    <w:rsid w:val="00B61850"/>
    <w:rsid w:val="00B619A2"/>
    <w:rsid w:val="00B61B89"/>
    <w:rsid w:val="00B61DCA"/>
    <w:rsid w:val="00B61EC0"/>
    <w:rsid w:val="00B61EF6"/>
    <w:rsid w:val="00B61F02"/>
    <w:rsid w:val="00B6210E"/>
    <w:rsid w:val="00B62583"/>
    <w:rsid w:val="00B62AFC"/>
    <w:rsid w:val="00B631F3"/>
    <w:rsid w:val="00B632A7"/>
    <w:rsid w:val="00B63308"/>
    <w:rsid w:val="00B63BA4"/>
    <w:rsid w:val="00B63C17"/>
    <w:rsid w:val="00B64350"/>
    <w:rsid w:val="00B643CD"/>
    <w:rsid w:val="00B648D5"/>
    <w:rsid w:val="00B64BA0"/>
    <w:rsid w:val="00B64D1F"/>
    <w:rsid w:val="00B657A9"/>
    <w:rsid w:val="00B65B62"/>
    <w:rsid w:val="00B65B9D"/>
    <w:rsid w:val="00B65C55"/>
    <w:rsid w:val="00B65FB9"/>
    <w:rsid w:val="00B66438"/>
    <w:rsid w:val="00B6688F"/>
    <w:rsid w:val="00B67273"/>
    <w:rsid w:val="00B6752D"/>
    <w:rsid w:val="00B675FE"/>
    <w:rsid w:val="00B67AF3"/>
    <w:rsid w:val="00B67B59"/>
    <w:rsid w:val="00B67C51"/>
    <w:rsid w:val="00B67DD1"/>
    <w:rsid w:val="00B70042"/>
    <w:rsid w:val="00B7012F"/>
    <w:rsid w:val="00B70270"/>
    <w:rsid w:val="00B70279"/>
    <w:rsid w:val="00B70638"/>
    <w:rsid w:val="00B70678"/>
    <w:rsid w:val="00B7091B"/>
    <w:rsid w:val="00B70C11"/>
    <w:rsid w:val="00B70D16"/>
    <w:rsid w:val="00B70D36"/>
    <w:rsid w:val="00B70D80"/>
    <w:rsid w:val="00B7105E"/>
    <w:rsid w:val="00B71068"/>
    <w:rsid w:val="00B71198"/>
    <w:rsid w:val="00B71534"/>
    <w:rsid w:val="00B716B4"/>
    <w:rsid w:val="00B717D8"/>
    <w:rsid w:val="00B71BD1"/>
    <w:rsid w:val="00B71BE8"/>
    <w:rsid w:val="00B72C4B"/>
    <w:rsid w:val="00B730BA"/>
    <w:rsid w:val="00B73476"/>
    <w:rsid w:val="00B7373E"/>
    <w:rsid w:val="00B7374A"/>
    <w:rsid w:val="00B7387A"/>
    <w:rsid w:val="00B73BA4"/>
    <w:rsid w:val="00B73E28"/>
    <w:rsid w:val="00B73F71"/>
    <w:rsid w:val="00B74007"/>
    <w:rsid w:val="00B74135"/>
    <w:rsid w:val="00B7417E"/>
    <w:rsid w:val="00B7479C"/>
    <w:rsid w:val="00B747E2"/>
    <w:rsid w:val="00B74F13"/>
    <w:rsid w:val="00B74F3A"/>
    <w:rsid w:val="00B751DE"/>
    <w:rsid w:val="00B7563B"/>
    <w:rsid w:val="00B75760"/>
    <w:rsid w:val="00B75B14"/>
    <w:rsid w:val="00B75CE7"/>
    <w:rsid w:val="00B75D78"/>
    <w:rsid w:val="00B75E33"/>
    <w:rsid w:val="00B75F11"/>
    <w:rsid w:val="00B75F78"/>
    <w:rsid w:val="00B76117"/>
    <w:rsid w:val="00B764B1"/>
    <w:rsid w:val="00B7658A"/>
    <w:rsid w:val="00B765A8"/>
    <w:rsid w:val="00B76676"/>
    <w:rsid w:val="00B767ED"/>
    <w:rsid w:val="00B76E7E"/>
    <w:rsid w:val="00B77877"/>
    <w:rsid w:val="00B77AA5"/>
    <w:rsid w:val="00B77BDD"/>
    <w:rsid w:val="00B77C60"/>
    <w:rsid w:val="00B77D77"/>
    <w:rsid w:val="00B77F43"/>
    <w:rsid w:val="00B77FA4"/>
    <w:rsid w:val="00B8007A"/>
    <w:rsid w:val="00B801A5"/>
    <w:rsid w:val="00B801B8"/>
    <w:rsid w:val="00B8065F"/>
    <w:rsid w:val="00B80689"/>
    <w:rsid w:val="00B8071E"/>
    <w:rsid w:val="00B80AEB"/>
    <w:rsid w:val="00B80C57"/>
    <w:rsid w:val="00B810C1"/>
    <w:rsid w:val="00B811EE"/>
    <w:rsid w:val="00B815DD"/>
    <w:rsid w:val="00B81AE5"/>
    <w:rsid w:val="00B81B37"/>
    <w:rsid w:val="00B81F71"/>
    <w:rsid w:val="00B82091"/>
    <w:rsid w:val="00B823F5"/>
    <w:rsid w:val="00B82764"/>
    <w:rsid w:val="00B82896"/>
    <w:rsid w:val="00B82A7B"/>
    <w:rsid w:val="00B82E84"/>
    <w:rsid w:val="00B83504"/>
    <w:rsid w:val="00B836B8"/>
    <w:rsid w:val="00B842AE"/>
    <w:rsid w:val="00B8460F"/>
    <w:rsid w:val="00B8466A"/>
    <w:rsid w:val="00B84A76"/>
    <w:rsid w:val="00B84EA7"/>
    <w:rsid w:val="00B85216"/>
    <w:rsid w:val="00B85843"/>
    <w:rsid w:val="00B85ED7"/>
    <w:rsid w:val="00B85EE2"/>
    <w:rsid w:val="00B860EF"/>
    <w:rsid w:val="00B8631D"/>
    <w:rsid w:val="00B8656B"/>
    <w:rsid w:val="00B8659F"/>
    <w:rsid w:val="00B86690"/>
    <w:rsid w:val="00B86A5D"/>
    <w:rsid w:val="00B86EC2"/>
    <w:rsid w:val="00B8744E"/>
    <w:rsid w:val="00B87546"/>
    <w:rsid w:val="00B875CC"/>
    <w:rsid w:val="00B87AF7"/>
    <w:rsid w:val="00B87D29"/>
    <w:rsid w:val="00B87D81"/>
    <w:rsid w:val="00B87DB3"/>
    <w:rsid w:val="00B90274"/>
    <w:rsid w:val="00B90595"/>
    <w:rsid w:val="00B905D0"/>
    <w:rsid w:val="00B90BE4"/>
    <w:rsid w:val="00B90BE6"/>
    <w:rsid w:val="00B90F0D"/>
    <w:rsid w:val="00B912B6"/>
    <w:rsid w:val="00B91601"/>
    <w:rsid w:val="00B91845"/>
    <w:rsid w:val="00B91A2F"/>
    <w:rsid w:val="00B91B62"/>
    <w:rsid w:val="00B921AB"/>
    <w:rsid w:val="00B921FE"/>
    <w:rsid w:val="00B9232A"/>
    <w:rsid w:val="00B9246E"/>
    <w:rsid w:val="00B924AD"/>
    <w:rsid w:val="00B9275C"/>
    <w:rsid w:val="00B92924"/>
    <w:rsid w:val="00B92976"/>
    <w:rsid w:val="00B9299D"/>
    <w:rsid w:val="00B931E7"/>
    <w:rsid w:val="00B9362A"/>
    <w:rsid w:val="00B9398E"/>
    <w:rsid w:val="00B939A5"/>
    <w:rsid w:val="00B93ADA"/>
    <w:rsid w:val="00B93C11"/>
    <w:rsid w:val="00B94592"/>
    <w:rsid w:val="00B94614"/>
    <w:rsid w:val="00B946F1"/>
    <w:rsid w:val="00B94971"/>
    <w:rsid w:val="00B94D90"/>
    <w:rsid w:val="00B94EF4"/>
    <w:rsid w:val="00B95064"/>
    <w:rsid w:val="00B95172"/>
    <w:rsid w:val="00B951D8"/>
    <w:rsid w:val="00B9533B"/>
    <w:rsid w:val="00B954ED"/>
    <w:rsid w:val="00B95754"/>
    <w:rsid w:val="00B958C7"/>
    <w:rsid w:val="00B9593C"/>
    <w:rsid w:val="00B95B0B"/>
    <w:rsid w:val="00B95C5C"/>
    <w:rsid w:val="00B962CD"/>
    <w:rsid w:val="00B9673E"/>
    <w:rsid w:val="00B96D09"/>
    <w:rsid w:val="00B96D9F"/>
    <w:rsid w:val="00B96FD3"/>
    <w:rsid w:val="00B974C4"/>
    <w:rsid w:val="00B97561"/>
    <w:rsid w:val="00B97F6F"/>
    <w:rsid w:val="00BA0007"/>
    <w:rsid w:val="00BA039C"/>
    <w:rsid w:val="00BA0495"/>
    <w:rsid w:val="00BA065A"/>
    <w:rsid w:val="00BA0BA0"/>
    <w:rsid w:val="00BA0D71"/>
    <w:rsid w:val="00BA1376"/>
    <w:rsid w:val="00BA1C78"/>
    <w:rsid w:val="00BA209D"/>
    <w:rsid w:val="00BA2A4E"/>
    <w:rsid w:val="00BA2A9A"/>
    <w:rsid w:val="00BA2C28"/>
    <w:rsid w:val="00BA2E88"/>
    <w:rsid w:val="00BA330E"/>
    <w:rsid w:val="00BA33CF"/>
    <w:rsid w:val="00BA3DA5"/>
    <w:rsid w:val="00BA3EAD"/>
    <w:rsid w:val="00BA3F42"/>
    <w:rsid w:val="00BA3FA6"/>
    <w:rsid w:val="00BA408C"/>
    <w:rsid w:val="00BA4102"/>
    <w:rsid w:val="00BA45D4"/>
    <w:rsid w:val="00BA4A8E"/>
    <w:rsid w:val="00BA51ED"/>
    <w:rsid w:val="00BA52A4"/>
    <w:rsid w:val="00BA56E6"/>
    <w:rsid w:val="00BA5C66"/>
    <w:rsid w:val="00BA5E4E"/>
    <w:rsid w:val="00BA608E"/>
    <w:rsid w:val="00BA610A"/>
    <w:rsid w:val="00BA622C"/>
    <w:rsid w:val="00BA6250"/>
    <w:rsid w:val="00BA626F"/>
    <w:rsid w:val="00BA6821"/>
    <w:rsid w:val="00BA6AA6"/>
    <w:rsid w:val="00BA7222"/>
    <w:rsid w:val="00BA780C"/>
    <w:rsid w:val="00BA796B"/>
    <w:rsid w:val="00BA7D04"/>
    <w:rsid w:val="00BA7D69"/>
    <w:rsid w:val="00BA7E3A"/>
    <w:rsid w:val="00BA7E52"/>
    <w:rsid w:val="00BB0785"/>
    <w:rsid w:val="00BB07A8"/>
    <w:rsid w:val="00BB09B5"/>
    <w:rsid w:val="00BB0B65"/>
    <w:rsid w:val="00BB0CE2"/>
    <w:rsid w:val="00BB1076"/>
    <w:rsid w:val="00BB1334"/>
    <w:rsid w:val="00BB15B2"/>
    <w:rsid w:val="00BB161C"/>
    <w:rsid w:val="00BB1620"/>
    <w:rsid w:val="00BB1784"/>
    <w:rsid w:val="00BB1B24"/>
    <w:rsid w:val="00BB1B48"/>
    <w:rsid w:val="00BB20C7"/>
    <w:rsid w:val="00BB22C7"/>
    <w:rsid w:val="00BB25D6"/>
    <w:rsid w:val="00BB26B2"/>
    <w:rsid w:val="00BB3042"/>
    <w:rsid w:val="00BB3419"/>
    <w:rsid w:val="00BB3448"/>
    <w:rsid w:val="00BB369C"/>
    <w:rsid w:val="00BB3A83"/>
    <w:rsid w:val="00BB3B42"/>
    <w:rsid w:val="00BB3D3F"/>
    <w:rsid w:val="00BB3F07"/>
    <w:rsid w:val="00BB3F52"/>
    <w:rsid w:val="00BB4340"/>
    <w:rsid w:val="00BB4431"/>
    <w:rsid w:val="00BB4458"/>
    <w:rsid w:val="00BB4484"/>
    <w:rsid w:val="00BB461A"/>
    <w:rsid w:val="00BB489B"/>
    <w:rsid w:val="00BB48CB"/>
    <w:rsid w:val="00BB4B3D"/>
    <w:rsid w:val="00BB4BE5"/>
    <w:rsid w:val="00BB51FD"/>
    <w:rsid w:val="00BB5279"/>
    <w:rsid w:val="00BB52B5"/>
    <w:rsid w:val="00BB57D6"/>
    <w:rsid w:val="00BB5A70"/>
    <w:rsid w:val="00BB5B52"/>
    <w:rsid w:val="00BB5C2C"/>
    <w:rsid w:val="00BB5DA0"/>
    <w:rsid w:val="00BB6402"/>
    <w:rsid w:val="00BB6432"/>
    <w:rsid w:val="00BB6991"/>
    <w:rsid w:val="00BB6CEA"/>
    <w:rsid w:val="00BB72FC"/>
    <w:rsid w:val="00BB7796"/>
    <w:rsid w:val="00BB7AFB"/>
    <w:rsid w:val="00BB7E26"/>
    <w:rsid w:val="00BC0641"/>
    <w:rsid w:val="00BC0642"/>
    <w:rsid w:val="00BC0715"/>
    <w:rsid w:val="00BC0D6C"/>
    <w:rsid w:val="00BC0D8C"/>
    <w:rsid w:val="00BC0DD6"/>
    <w:rsid w:val="00BC0EE3"/>
    <w:rsid w:val="00BC0FC0"/>
    <w:rsid w:val="00BC1245"/>
    <w:rsid w:val="00BC163E"/>
    <w:rsid w:val="00BC1662"/>
    <w:rsid w:val="00BC1B69"/>
    <w:rsid w:val="00BC1B97"/>
    <w:rsid w:val="00BC1E7B"/>
    <w:rsid w:val="00BC24A1"/>
    <w:rsid w:val="00BC24B7"/>
    <w:rsid w:val="00BC24CE"/>
    <w:rsid w:val="00BC2533"/>
    <w:rsid w:val="00BC2557"/>
    <w:rsid w:val="00BC27FF"/>
    <w:rsid w:val="00BC2A8A"/>
    <w:rsid w:val="00BC2D42"/>
    <w:rsid w:val="00BC2E2A"/>
    <w:rsid w:val="00BC303D"/>
    <w:rsid w:val="00BC37E9"/>
    <w:rsid w:val="00BC3AC0"/>
    <w:rsid w:val="00BC3B86"/>
    <w:rsid w:val="00BC3E39"/>
    <w:rsid w:val="00BC424F"/>
    <w:rsid w:val="00BC43F1"/>
    <w:rsid w:val="00BC444C"/>
    <w:rsid w:val="00BC46DD"/>
    <w:rsid w:val="00BC474F"/>
    <w:rsid w:val="00BC4E21"/>
    <w:rsid w:val="00BC4F21"/>
    <w:rsid w:val="00BC5583"/>
    <w:rsid w:val="00BC55B1"/>
    <w:rsid w:val="00BC5649"/>
    <w:rsid w:val="00BC5707"/>
    <w:rsid w:val="00BC57F9"/>
    <w:rsid w:val="00BC5874"/>
    <w:rsid w:val="00BC59C7"/>
    <w:rsid w:val="00BC5B20"/>
    <w:rsid w:val="00BC5BF9"/>
    <w:rsid w:val="00BC5DB5"/>
    <w:rsid w:val="00BC611A"/>
    <w:rsid w:val="00BC6120"/>
    <w:rsid w:val="00BC62BF"/>
    <w:rsid w:val="00BC64C6"/>
    <w:rsid w:val="00BC690E"/>
    <w:rsid w:val="00BC6959"/>
    <w:rsid w:val="00BC6A31"/>
    <w:rsid w:val="00BC706D"/>
    <w:rsid w:val="00BC7577"/>
    <w:rsid w:val="00BC7B2E"/>
    <w:rsid w:val="00BC7B8B"/>
    <w:rsid w:val="00BC7CAD"/>
    <w:rsid w:val="00BC7F18"/>
    <w:rsid w:val="00BC7F42"/>
    <w:rsid w:val="00BD038A"/>
    <w:rsid w:val="00BD03F6"/>
    <w:rsid w:val="00BD04DE"/>
    <w:rsid w:val="00BD094F"/>
    <w:rsid w:val="00BD09BB"/>
    <w:rsid w:val="00BD10BB"/>
    <w:rsid w:val="00BD138C"/>
    <w:rsid w:val="00BD14CB"/>
    <w:rsid w:val="00BD1A00"/>
    <w:rsid w:val="00BD2734"/>
    <w:rsid w:val="00BD28AC"/>
    <w:rsid w:val="00BD28D2"/>
    <w:rsid w:val="00BD29F3"/>
    <w:rsid w:val="00BD2C89"/>
    <w:rsid w:val="00BD2D85"/>
    <w:rsid w:val="00BD329B"/>
    <w:rsid w:val="00BD36A1"/>
    <w:rsid w:val="00BD37B6"/>
    <w:rsid w:val="00BD37DB"/>
    <w:rsid w:val="00BD38A6"/>
    <w:rsid w:val="00BD3ECC"/>
    <w:rsid w:val="00BD3FE6"/>
    <w:rsid w:val="00BD4068"/>
    <w:rsid w:val="00BD470E"/>
    <w:rsid w:val="00BD4FB8"/>
    <w:rsid w:val="00BD52C5"/>
    <w:rsid w:val="00BD5427"/>
    <w:rsid w:val="00BD548C"/>
    <w:rsid w:val="00BD55BA"/>
    <w:rsid w:val="00BD5794"/>
    <w:rsid w:val="00BD5C44"/>
    <w:rsid w:val="00BD5F13"/>
    <w:rsid w:val="00BD5FDC"/>
    <w:rsid w:val="00BD60AF"/>
    <w:rsid w:val="00BD60B4"/>
    <w:rsid w:val="00BD62EC"/>
    <w:rsid w:val="00BD6545"/>
    <w:rsid w:val="00BD7811"/>
    <w:rsid w:val="00BD79E9"/>
    <w:rsid w:val="00BD7BF7"/>
    <w:rsid w:val="00BD7D04"/>
    <w:rsid w:val="00BD7E57"/>
    <w:rsid w:val="00BE0088"/>
    <w:rsid w:val="00BE0253"/>
    <w:rsid w:val="00BE0345"/>
    <w:rsid w:val="00BE06A9"/>
    <w:rsid w:val="00BE083B"/>
    <w:rsid w:val="00BE0D3E"/>
    <w:rsid w:val="00BE0E3C"/>
    <w:rsid w:val="00BE0E97"/>
    <w:rsid w:val="00BE11FB"/>
    <w:rsid w:val="00BE2036"/>
    <w:rsid w:val="00BE2A46"/>
    <w:rsid w:val="00BE2A70"/>
    <w:rsid w:val="00BE2B4B"/>
    <w:rsid w:val="00BE2C3D"/>
    <w:rsid w:val="00BE2CF9"/>
    <w:rsid w:val="00BE38F0"/>
    <w:rsid w:val="00BE3C2B"/>
    <w:rsid w:val="00BE3F96"/>
    <w:rsid w:val="00BE4358"/>
    <w:rsid w:val="00BE4605"/>
    <w:rsid w:val="00BE468D"/>
    <w:rsid w:val="00BE4B3D"/>
    <w:rsid w:val="00BE4B49"/>
    <w:rsid w:val="00BE4D72"/>
    <w:rsid w:val="00BE4D94"/>
    <w:rsid w:val="00BE4F9C"/>
    <w:rsid w:val="00BE52BE"/>
    <w:rsid w:val="00BE54F5"/>
    <w:rsid w:val="00BE571E"/>
    <w:rsid w:val="00BE6002"/>
    <w:rsid w:val="00BE6470"/>
    <w:rsid w:val="00BE657C"/>
    <w:rsid w:val="00BE68A2"/>
    <w:rsid w:val="00BE698E"/>
    <w:rsid w:val="00BE69E5"/>
    <w:rsid w:val="00BE69ED"/>
    <w:rsid w:val="00BE6C87"/>
    <w:rsid w:val="00BE6CED"/>
    <w:rsid w:val="00BE6E7E"/>
    <w:rsid w:val="00BE7000"/>
    <w:rsid w:val="00BE703B"/>
    <w:rsid w:val="00BE73B8"/>
    <w:rsid w:val="00BE7464"/>
    <w:rsid w:val="00BE75D5"/>
    <w:rsid w:val="00BE7854"/>
    <w:rsid w:val="00BE7C22"/>
    <w:rsid w:val="00BE7FE6"/>
    <w:rsid w:val="00BE7FF9"/>
    <w:rsid w:val="00BF033B"/>
    <w:rsid w:val="00BF04B9"/>
    <w:rsid w:val="00BF054C"/>
    <w:rsid w:val="00BF06B5"/>
    <w:rsid w:val="00BF0A70"/>
    <w:rsid w:val="00BF0AF6"/>
    <w:rsid w:val="00BF0BB8"/>
    <w:rsid w:val="00BF0C60"/>
    <w:rsid w:val="00BF0DB8"/>
    <w:rsid w:val="00BF0E75"/>
    <w:rsid w:val="00BF1194"/>
    <w:rsid w:val="00BF177A"/>
    <w:rsid w:val="00BF1A22"/>
    <w:rsid w:val="00BF1FA5"/>
    <w:rsid w:val="00BF2025"/>
    <w:rsid w:val="00BF29E6"/>
    <w:rsid w:val="00BF306A"/>
    <w:rsid w:val="00BF33AA"/>
    <w:rsid w:val="00BF33E3"/>
    <w:rsid w:val="00BF344F"/>
    <w:rsid w:val="00BF3579"/>
    <w:rsid w:val="00BF35C6"/>
    <w:rsid w:val="00BF3699"/>
    <w:rsid w:val="00BF36AB"/>
    <w:rsid w:val="00BF3779"/>
    <w:rsid w:val="00BF39F3"/>
    <w:rsid w:val="00BF3BC7"/>
    <w:rsid w:val="00BF3C49"/>
    <w:rsid w:val="00BF3C7B"/>
    <w:rsid w:val="00BF3D9B"/>
    <w:rsid w:val="00BF4379"/>
    <w:rsid w:val="00BF447D"/>
    <w:rsid w:val="00BF4708"/>
    <w:rsid w:val="00BF485D"/>
    <w:rsid w:val="00BF4B31"/>
    <w:rsid w:val="00BF4B66"/>
    <w:rsid w:val="00BF4CC0"/>
    <w:rsid w:val="00BF4DAD"/>
    <w:rsid w:val="00BF4E3C"/>
    <w:rsid w:val="00BF5338"/>
    <w:rsid w:val="00BF5592"/>
    <w:rsid w:val="00BF56EF"/>
    <w:rsid w:val="00BF5986"/>
    <w:rsid w:val="00BF5BF1"/>
    <w:rsid w:val="00BF5DAC"/>
    <w:rsid w:val="00BF6036"/>
    <w:rsid w:val="00BF61BA"/>
    <w:rsid w:val="00BF646A"/>
    <w:rsid w:val="00BF6B9A"/>
    <w:rsid w:val="00BF6DB9"/>
    <w:rsid w:val="00BF6F2F"/>
    <w:rsid w:val="00BF72D4"/>
    <w:rsid w:val="00BF7489"/>
    <w:rsid w:val="00BF79D7"/>
    <w:rsid w:val="00C0052A"/>
    <w:rsid w:val="00C0080C"/>
    <w:rsid w:val="00C00945"/>
    <w:rsid w:val="00C011C7"/>
    <w:rsid w:val="00C01220"/>
    <w:rsid w:val="00C01247"/>
    <w:rsid w:val="00C0129C"/>
    <w:rsid w:val="00C012A6"/>
    <w:rsid w:val="00C019DD"/>
    <w:rsid w:val="00C01A3F"/>
    <w:rsid w:val="00C01C3A"/>
    <w:rsid w:val="00C01F8F"/>
    <w:rsid w:val="00C02366"/>
    <w:rsid w:val="00C024C5"/>
    <w:rsid w:val="00C02F41"/>
    <w:rsid w:val="00C0323F"/>
    <w:rsid w:val="00C034A1"/>
    <w:rsid w:val="00C03923"/>
    <w:rsid w:val="00C03C92"/>
    <w:rsid w:val="00C03F6B"/>
    <w:rsid w:val="00C04854"/>
    <w:rsid w:val="00C04E22"/>
    <w:rsid w:val="00C05375"/>
    <w:rsid w:val="00C055D9"/>
    <w:rsid w:val="00C0573E"/>
    <w:rsid w:val="00C06008"/>
    <w:rsid w:val="00C06719"/>
    <w:rsid w:val="00C067C6"/>
    <w:rsid w:val="00C0694A"/>
    <w:rsid w:val="00C07336"/>
    <w:rsid w:val="00C076ED"/>
    <w:rsid w:val="00C07968"/>
    <w:rsid w:val="00C10326"/>
    <w:rsid w:val="00C10511"/>
    <w:rsid w:val="00C10881"/>
    <w:rsid w:val="00C10C8C"/>
    <w:rsid w:val="00C10E37"/>
    <w:rsid w:val="00C10FB2"/>
    <w:rsid w:val="00C11378"/>
    <w:rsid w:val="00C113F0"/>
    <w:rsid w:val="00C11578"/>
    <w:rsid w:val="00C11C12"/>
    <w:rsid w:val="00C120DA"/>
    <w:rsid w:val="00C120E0"/>
    <w:rsid w:val="00C125A7"/>
    <w:rsid w:val="00C126BF"/>
    <w:rsid w:val="00C12A1E"/>
    <w:rsid w:val="00C13089"/>
    <w:rsid w:val="00C13172"/>
    <w:rsid w:val="00C135D4"/>
    <w:rsid w:val="00C13713"/>
    <w:rsid w:val="00C14026"/>
    <w:rsid w:val="00C14172"/>
    <w:rsid w:val="00C145FD"/>
    <w:rsid w:val="00C1467C"/>
    <w:rsid w:val="00C14A4E"/>
    <w:rsid w:val="00C14B3D"/>
    <w:rsid w:val="00C14C9E"/>
    <w:rsid w:val="00C14CEC"/>
    <w:rsid w:val="00C14F4E"/>
    <w:rsid w:val="00C150C8"/>
    <w:rsid w:val="00C1562A"/>
    <w:rsid w:val="00C156ED"/>
    <w:rsid w:val="00C1579C"/>
    <w:rsid w:val="00C158A9"/>
    <w:rsid w:val="00C15C06"/>
    <w:rsid w:val="00C1612B"/>
    <w:rsid w:val="00C161BA"/>
    <w:rsid w:val="00C162F6"/>
    <w:rsid w:val="00C163BF"/>
    <w:rsid w:val="00C16933"/>
    <w:rsid w:val="00C169B6"/>
    <w:rsid w:val="00C16A13"/>
    <w:rsid w:val="00C16A1B"/>
    <w:rsid w:val="00C16B28"/>
    <w:rsid w:val="00C16BDF"/>
    <w:rsid w:val="00C16C44"/>
    <w:rsid w:val="00C170C0"/>
    <w:rsid w:val="00C17360"/>
    <w:rsid w:val="00C173DC"/>
    <w:rsid w:val="00C1742D"/>
    <w:rsid w:val="00C17969"/>
    <w:rsid w:val="00C17A1C"/>
    <w:rsid w:val="00C17F60"/>
    <w:rsid w:val="00C2050F"/>
    <w:rsid w:val="00C205A2"/>
    <w:rsid w:val="00C206CB"/>
    <w:rsid w:val="00C20725"/>
    <w:rsid w:val="00C2075B"/>
    <w:rsid w:val="00C20858"/>
    <w:rsid w:val="00C20866"/>
    <w:rsid w:val="00C20A56"/>
    <w:rsid w:val="00C20D91"/>
    <w:rsid w:val="00C20ED9"/>
    <w:rsid w:val="00C20FA5"/>
    <w:rsid w:val="00C21373"/>
    <w:rsid w:val="00C21660"/>
    <w:rsid w:val="00C2193E"/>
    <w:rsid w:val="00C21D9D"/>
    <w:rsid w:val="00C21F62"/>
    <w:rsid w:val="00C2226B"/>
    <w:rsid w:val="00C22279"/>
    <w:rsid w:val="00C224C6"/>
    <w:rsid w:val="00C225C9"/>
    <w:rsid w:val="00C22842"/>
    <w:rsid w:val="00C22938"/>
    <w:rsid w:val="00C22A05"/>
    <w:rsid w:val="00C22AFD"/>
    <w:rsid w:val="00C22B28"/>
    <w:rsid w:val="00C22CE0"/>
    <w:rsid w:val="00C22F1C"/>
    <w:rsid w:val="00C22F7D"/>
    <w:rsid w:val="00C23443"/>
    <w:rsid w:val="00C23556"/>
    <w:rsid w:val="00C2358F"/>
    <w:rsid w:val="00C2395C"/>
    <w:rsid w:val="00C23B27"/>
    <w:rsid w:val="00C23E1D"/>
    <w:rsid w:val="00C242E2"/>
    <w:rsid w:val="00C24652"/>
    <w:rsid w:val="00C24721"/>
    <w:rsid w:val="00C24C54"/>
    <w:rsid w:val="00C24C78"/>
    <w:rsid w:val="00C24F42"/>
    <w:rsid w:val="00C259F2"/>
    <w:rsid w:val="00C25CBB"/>
    <w:rsid w:val="00C25F40"/>
    <w:rsid w:val="00C2632A"/>
    <w:rsid w:val="00C26795"/>
    <w:rsid w:val="00C267BF"/>
    <w:rsid w:val="00C26C29"/>
    <w:rsid w:val="00C26E8E"/>
    <w:rsid w:val="00C270F6"/>
    <w:rsid w:val="00C27628"/>
    <w:rsid w:val="00C276AD"/>
    <w:rsid w:val="00C278CB"/>
    <w:rsid w:val="00C301E9"/>
    <w:rsid w:val="00C30505"/>
    <w:rsid w:val="00C3055C"/>
    <w:rsid w:val="00C3065B"/>
    <w:rsid w:val="00C3072D"/>
    <w:rsid w:val="00C30784"/>
    <w:rsid w:val="00C30823"/>
    <w:rsid w:val="00C30855"/>
    <w:rsid w:val="00C30CA3"/>
    <w:rsid w:val="00C30D56"/>
    <w:rsid w:val="00C3105A"/>
    <w:rsid w:val="00C315EA"/>
    <w:rsid w:val="00C32080"/>
    <w:rsid w:val="00C32834"/>
    <w:rsid w:val="00C32DA1"/>
    <w:rsid w:val="00C33096"/>
    <w:rsid w:val="00C33116"/>
    <w:rsid w:val="00C33214"/>
    <w:rsid w:val="00C33463"/>
    <w:rsid w:val="00C334F7"/>
    <w:rsid w:val="00C335C8"/>
    <w:rsid w:val="00C33636"/>
    <w:rsid w:val="00C33913"/>
    <w:rsid w:val="00C33AE9"/>
    <w:rsid w:val="00C34030"/>
    <w:rsid w:val="00C344F3"/>
    <w:rsid w:val="00C3478D"/>
    <w:rsid w:val="00C34910"/>
    <w:rsid w:val="00C34997"/>
    <w:rsid w:val="00C34A23"/>
    <w:rsid w:val="00C34B36"/>
    <w:rsid w:val="00C34E5A"/>
    <w:rsid w:val="00C34ED6"/>
    <w:rsid w:val="00C350D3"/>
    <w:rsid w:val="00C35760"/>
    <w:rsid w:val="00C36284"/>
    <w:rsid w:val="00C364C2"/>
    <w:rsid w:val="00C365CB"/>
    <w:rsid w:val="00C36A61"/>
    <w:rsid w:val="00C36ADF"/>
    <w:rsid w:val="00C36C69"/>
    <w:rsid w:val="00C36E55"/>
    <w:rsid w:val="00C375FD"/>
    <w:rsid w:val="00C3789A"/>
    <w:rsid w:val="00C37BE8"/>
    <w:rsid w:val="00C37EF1"/>
    <w:rsid w:val="00C40151"/>
    <w:rsid w:val="00C40837"/>
    <w:rsid w:val="00C4091C"/>
    <w:rsid w:val="00C40A67"/>
    <w:rsid w:val="00C40AD4"/>
    <w:rsid w:val="00C4116E"/>
    <w:rsid w:val="00C419D8"/>
    <w:rsid w:val="00C41B6C"/>
    <w:rsid w:val="00C41B7F"/>
    <w:rsid w:val="00C41C4A"/>
    <w:rsid w:val="00C41DC9"/>
    <w:rsid w:val="00C42016"/>
    <w:rsid w:val="00C42403"/>
    <w:rsid w:val="00C42478"/>
    <w:rsid w:val="00C428F8"/>
    <w:rsid w:val="00C42B4D"/>
    <w:rsid w:val="00C42BE2"/>
    <w:rsid w:val="00C42DBB"/>
    <w:rsid w:val="00C43207"/>
    <w:rsid w:val="00C433C8"/>
    <w:rsid w:val="00C4347F"/>
    <w:rsid w:val="00C43643"/>
    <w:rsid w:val="00C4379C"/>
    <w:rsid w:val="00C43B95"/>
    <w:rsid w:val="00C43F52"/>
    <w:rsid w:val="00C441AA"/>
    <w:rsid w:val="00C44280"/>
    <w:rsid w:val="00C449BF"/>
    <w:rsid w:val="00C45062"/>
    <w:rsid w:val="00C45290"/>
    <w:rsid w:val="00C45421"/>
    <w:rsid w:val="00C45927"/>
    <w:rsid w:val="00C46197"/>
    <w:rsid w:val="00C462A2"/>
    <w:rsid w:val="00C464A8"/>
    <w:rsid w:val="00C464BD"/>
    <w:rsid w:val="00C46610"/>
    <w:rsid w:val="00C46BC9"/>
    <w:rsid w:val="00C46E55"/>
    <w:rsid w:val="00C46F46"/>
    <w:rsid w:val="00C470AE"/>
    <w:rsid w:val="00C478D0"/>
    <w:rsid w:val="00C479B6"/>
    <w:rsid w:val="00C47BCA"/>
    <w:rsid w:val="00C47BDC"/>
    <w:rsid w:val="00C47D87"/>
    <w:rsid w:val="00C47FC3"/>
    <w:rsid w:val="00C50214"/>
    <w:rsid w:val="00C50262"/>
    <w:rsid w:val="00C506F4"/>
    <w:rsid w:val="00C50808"/>
    <w:rsid w:val="00C50961"/>
    <w:rsid w:val="00C50C2C"/>
    <w:rsid w:val="00C51208"/>
    <w:rsid w:val="00C51329"/>
    <w:rsid w:val="00C5143B"/>
    <w:rsid w:val="00C51BD6"/>
    <w:rsid w:val="00C51BF1"/>
    <w:rsid w:val="00C51C80"/>
    <w:rsid w:val="00C51D97"/>
    <w:rsid w:val="00C52120"/>
    <w:rsid w:val="00C5245B"/>
    <w:rsid w:val="00C5269C"/>
    <w:rsid w:val="00C526D3"/>
    <w:rsid w:val="00C52B00"/>
    <w:rsid w:val="00C52B14"/>
    <w:rsid w:val="00C52C68"/>
    <w:rsid w:val="00C53109"/>
    <w:rsid w:val="00C5330B"/>
    <w:rsid w:val="00C5360D"/>
    <w:rsid w:val="00C53625"/>
    <w:rsid w:val="00C53A9F"/>
    <w:rsid w:val="00C53CF7"/>
    <w:rsid w:val="00C53E60"/>
    <w:rsid w:val="00C54213"/>
    <w:rsid w:val="00C5449F"/>
    <w:rsid w:val="00C54555"/>
    <w:rsid w:val="00C54587"/>
    <w:rsid w:val="00C545C7"/>
    <w:rsid w:val="00C54CE0"/>
    <w:rsid w:val="00C54E8A"/>
    <w:rsid w:val="00C5500C"/>
    <w:rsid w:val="00C55073"/>
    <w:rsid w:val="00C55077"/>
    <w:rsid w:val="00C5507C"/>
    <w:rsid w:val="00C55A9E"/>
    <w:rsid w:val="00C55D23"/>
    <w:rsid w:val="00C56228"/>
    <w:rsid w:val="00C563B3"/>
    <w:rsid w:val="00C56D13"/>
    <w:rsid w:val="00C5718C"/>
    <w:rsid w:val="00C571A5"/>
    <w:rsid w:val="00C57209"/>
    <w:rsid w:val="00C57B46"/>
    <w:rsid w:val="00C57C5D"/>
    <w:rsid w:val="00C57C75"/>
    <w:rsid w:val="00C57C9F"/>
    <w:rsid w:val="00C57D33"/>
    <w:rsid w:val="00C57D50"/>
    <w:rsid w:val="00C602AE"/>
    <w:rsid w:val="00C6038D"/>
    <w:rsid w:val="00C60483"/>
    <w:rsid w:val="00C604A7"/>
    <w:rsid w:val="00C60500"/>
    <w:rsid w:val="00C6053A"/>
    <w:rsid w:val="00C605BA"/>
    <w:rsid w:val="00C605EF"/>
    <w:rsid w:val="00C60736"/>
    <w:rsid w:val="00C60F63"/>
    <w:rsid w:val="00C61005"/>
    <w:rsid w:val="00C610D2"/>
    <w:rsid w:val="00C6149D"/>
    <w:rsid w:val="00C61CB7"/>
    <w:rsid w:val="00C61D05"/>
    <w:rsid w:val="00C620A0"/>
    <w:rsid w:val="00C622DB"/>
    <w:rsid w:val="00C6234D"/>
    <w:rsid w:val="00C6247D"/>
    <w:rsid w:val="00C62512"/>
    <w:rsid w:val="00C625FD"/>
    <w:rsid w:val="00C630B1"/>
    <w:rsid w:val="00C63164"/>
    <w:rsid w:val="00C631C0"/>
    <w:rsid w:val="00C6331A"/>
    <w:rsid w:val="00C63586"/>
    <w:rsid w:val="00C63CCA"/>
    <w:rsid w:val="00C640D0"/>
    <w:rsid w:val="00C64351"/>
    <w:rsid w:val="00C645DB"/>
    <w:rsid w:val="00C64924"/>
    <w:rsid w:val="00C64FE0"/>
    <w:rsid w:val="00C65561"/>
    <w:rsid w:val="00C65684"/>
    <w:rsid w:val="00C657D8"/>
    <w:rsid w:val="00C65A34"/>
    <w:rsid w:val="00C65C73"/>
    <w:rsid w:val="00C666BC"/>
    <w:rsid w:val="00C66926"/>
    <w:rsid w:val="00C66A50"/>
    <w:rsid w:val="00C66D34"/>
    <w:rsid w:val="00C66F46"/>
    <w:rsid w:val="00C67552"/>
    <w:rsid w:val="00C6782C"/>
    <w:rsid w:val="00C67962"/>
    <w:rsid w:val="00C67BAF"/>
    <w:rsid w:val="00C67E09"/>
    <w:rsid w:val="00C70398"/>
    <w:rsid w:val="00C7079E"/>
    <w:rsid w:val="00C7088A"/>
    <w:rsid w:val="00C719C6"/>
    <w:rsid w:val="00C71C4B"/>
    <w:rsid w:val="00C720C7"/>
    <w:rsid w:val="00C7221C"/>
    <w:rsid w:val="00C722E3"/>
    <w:rsid w:val="00C72952"/>
    <w:rsid w:val="00C72EAE"/>
    <w:rsid w:val="00C72FED"/>
    <w:rsid w:val="00C73185"/>
    <w:rsid w:val="00C731F5"/>
    <w:rsid w:val="00C73441"/>
    <w:rsid w:val="00C7393C"/>
    <w:rsid w:val="00C7397A"/>
    <w:rsid w:val="00C73BE6"/>
    <w:rsid w:val="00C73E1A"/>
    <w:rsid w:val="00C740C1"/>
    <w:rsid w:val="00C743A1"/>
    <w:rsid w:val="00C743CE"/>
    <w:rsid w:val="00C745F0"/>
    <w:rsid w:val="00C747C1"/>
    <w:rsid w:val="00C748C6"/>
    <w:rsid w:val="00C7493D"/>
    <w:rsid w:val="00C74CC2"/>
    <w:rsid w:val="00C74E34"/>
    <w:rsid w:val="00C751AA"/>
    <w:rsid w:val="00C752CC"/>
    <w:rsid w:val="00C7588D"/>
    <w:rsid w:val="00C75C19"/>
    <w:rsid w:val="00C75E46"/>
    <w:rsid w:val="00C76635"/>
    <w:rsid w:val="00C76785"/>
    <w:rsid w:val="00C76D65"/>
    <w:rsid w:val="00C77D0F"/>
    <w:rsid w:val="00C77F9E"/>
    <w:rsid w:val="00C8009A"/>
    <w:rsid w:val="00C80458"/>
    <w:rsid w:val="00C80569"/>
    <w:rsid w:val="00C8072B"/>
    <w:rsid w:val="00C8091A"/>
    <w:rsid w:val="00C809B1"/>
    <w:rsid w:val="00C80B0B"/>
    <w:rsid w:val="00C80C26"/>
    <w:rsid w:val="00C80E8F"/>
    <w:rsid w:val="00C81001"/>
    <w:rsid w:val="00C811DA"/>
    <w:rsid w:val="00C81295"/>
    <w:rsid w:val="00C813DD"/>
    <w:rsid w:val="00C814AA"/>
    <w:rsid w:val="00C81808"/>
    <w:rsid w:val="00C81BAB"/>
    <w:rsid w:val="00C81C37"/>
    <w:rsid w:val="00C81D61"/>
    <w:rsid w:val="00C822C4"/>
    <w:rsid w:val="00C82B6C"/>
    <w:rsid w:val="00C8331C"/>
    <w:rsid w:val="00C83370"/>
    <w:rsid w:val="00C83387"/>
    <w:rsid w:val="00C83C98"/>
    <w:rsid w:val="00C84769"/>
    <w:rsid w:val="00C8489E"/>
    <w:rsid w:val="00C84AD1"/>
    <w:rsid w:val="00C84C77"/>
    <w:rsid w:val="00C84C81"/>
    <w:rsid w:val="00C85258"/>
    <w:rsid w:val="00C855F9"/>
    <w:rsid w:val="00C85752"/>
    <w:rsid w:val="00C85837"/>
    <w:rsid w:val="00C85951"/>
    <w:rsid w:val="00C85CA4"/>
    <w:rsid w:val="00C860F5"/>
    <w:rsid w:val="00C86316"/>
    <w:rsid w:val="00C86515"/>
    <w:rsid w:val="00C865CF"/>
    <w:rsid w:val="00C86783"/>
    <w:rsid w:val="00C86A0D"/>
    <w:rsid w:val="00C86E9C"/>
    <w:rsid w:val="00C86F51"/>
    <w:rsid w:val="00C872A5"/>
    <w:rsid w:val="00C872CA"/>
    <w:rsid w:val="00C87A41"/>
    <w:rsid w:val="00C87AB3"/>
    <w:rsid w:val="00C87ADE"/>
    <w:rsid w:val="00C87C4F"/>
    <w:rsid w:val="00C87D48"/>
    <w:rsid w:val="00C87D5A"/>
    <w:rsid w:val="00C87E23"/>
    <w:rsid w:val="00C900C3"/>
    <w:rsid w:val="00C9050C"/>
    <w:rsid w:val="00C90522"/>
    <w:rsid w:val="00C9055B"/>
    <w:rsid w:val="00C9085A"/>
    <w:rsid w:val="00C90B7C"/>
    <w:rsid w:val="00C90D62"/>
    <w:rsid w:val="00C90DBF"/>
    <w:rsid w:val="00C90E61"/>
    <w:rsid w:val="00C90F5F"/>
    <w:rsid w:val="00C90FDB"/>
    <w:rsid w:val="00C91043"/>
    <w:rsid w:val="00C910E5"/>
    <w:rsid w:val="00C91131"/>
    <w:rsid w:val="00C9132B"/>
    <w:rsid w:val="00C917E3"/>
    <w:rsid w:val="00C91E91"/>
    <w:rsid w:val="00C91F75"/>
    <w:rsid w:val="00C921D3"/>
    <w:rsid w:val="00C9232B"/>
    <w:rsid w:val="00C924CC"/>
    <w:rsid w:val="00C92C7E"/>
    <w:rsid w:val="00C92D53"/>
    <w:rsid w:val="00C92DA6"/>
    <w:rsid w:val="00C93276"/>
    <w:rsid w:val="00C932ED"/>
    <w:rsid w:val="00C93370"/>
    <w:rsid w:val="00C93612"/>
    <w:rsid w:val="00C93C4A"/>
    <w:rsid w:val="00C93C63"/>
    <w:rsid w:val="00C93F6F"/>
    <w:rsid w:val="00C94195"/>
    <w:rsid w:val="00C9435E"/>
    <w:rsid w:val="00C94605"/>
    <w:rsid w:val="00C9486E"/>
    <w:rsid w:val="00C9494B"/>
    <w:rsid w:val="00C94A3B"/>
    <w:rsid w:val="00C950B5"/>
    <w:rsid w:val="00C955E4"/>
    <w:rsid w:val="00C95704"/>
    <w:rsid w:val="00C9579B"/>
    <w:rsid w:val="00C95999"/>
    <w:rsid w:val="00C95EAD"/>
    <w:rsid w:val="00C95FCF"/>
    <w:rsid w:val="00C96020"/>
    <w:rsid w:val="00C960C0"/>
    <w:rsid w:val="00C964B6"/>
    <w:rsid w:val="00C96664"/>
    <w:rsid w:val="00C96C31"/>
    <w:rsid w:val="00C96E5D"/>
    <w:rsid w:val="00C970B4"/>
    <w:rsid w:val="00C97293"/>
    <w:rsid w:val="00C97539"/>
    <w:rsid w:val="00C97755"/>
    <w:rsid w:val="00C97760"/>
    <w:rsid w:val="00C977C9"/>
    <w:rsid w:val="00C978B1"/>
    <w:rsid w:val="00C97AE5"/>
    <w:rsid w:val="00CA0022"/>
    <w:rsid w:val="00CA015C"/>
    <w:rsid w:val="00CA04D0"/>
    <w:rsid w:val="00CA0823"/>
    <w:rsid w:val="00CA0884"/>
    <w:rsid w:val="00CA08C0"/>
    <w:rsid w:val="00CA0ACA"/>
    <w:rsid w:val="00CA0B2A"/>
    <w:rsid w:val="00CA0D31"/>
    <w:rsid w:val="00CA10AC"/>
    <w:rsid w:val="00CA11EC"/>
    <w:rsid w:val="00CA121C"/>
    <w:rsid w:val="00CA1DA0"/>
    <w:rsid w:val="00CA1DF3"/>
    <w:rsid w:val="00CA2531"/>
    <w:rsid w:val="00CA27C4"/>
    <w:rsid w:val="00CA27E7"/>
    <w:rsid w:val="00CA2BAA"/>
    <w:rsid w:val="00CA3208"/>
    <w:rsid w:val="00CA36A2"/>
    <w:rsid w:val="00CA3C1F"/>
    <w:rsid w:val="00CA4032"/>
    <w:rsid w:val="00CA4878"/>
    <w:rsid w:val="00CA4C09"/>
    <w:rsid w:val="00CA4EDE"/>
    <w:rsid w:val="00CA516C"/>
    <w:rsid w:val="00CA52B0"/>
    <w:rsid w:val="00CA5338"/>
    <w:rsid w:val="00CA5A50"/>
    <w:rsid w:val="00CA5AE8"/>
    <w:rsid w:val="00CA5AFC"/>
    <w:rsid w:val="00CA5E36"/>
    <w:rsid w:val="00CA5FA4"/>
    <w:rsid w:val="00CA61AA"/>
    <w:rsid w:val="00CA63D2"/>
    <w:rsid w:val="00CA6784"/>
    <w:rsid w:val="00CA6A39"/>
    <w:rsid w:val="00CA6ACA"/>
    <w:rsid w:val="00CA6D88"/>
    <w:rsid w:val="00CA7032"/>
    <w:rsid w:val="00CA713C"/>
    <w:rsid w:val="00CA775B"/>
    <w:rsid w:val="00CB0576"/>
    <w:rsid w:val="00CB0F0D"/>
    <w:rsid w:val="00CB0F2B"/>
    <w:rsid w:val="00CB15BD"/>
    <w:rsid w:val="00CB2602"/>
    <w:rsid w:val="00CB2778"/>
    <w:rsid w:val="00CB302B"/>
    <w:rsid w:val="00CB32C0"/>
    <w:rsid w:val="00CB3394"/>
    <w:rsid w:val="00CB34E2"/>
    <w:rsid w:val="00CB390C"/>
    <w:rsid w:val="00CB3CEC"/>
    <w:rsid w:val="00CB3D3B"/>
    <w:rsid w:val="00CB41DA"/>
    <w:rsid w:val="00CB429F"/>
    <w:rsid w:val="00CB4BFC"/>
    <w:rsid w:val="00CB4D31"/>
    <w:rsid w:val="00CB4EE2"/>
    <w:rsid w:val="00CB5201"/>
    <w:rsid w:val="00CB556E"/>
    <w:rsid w:val="00CB5727"/>
    <w:rsid w:val="00CB5781"/>
    <w:rsid w:val="00CB57C9"/>
    <w:rsid w:val="00CB58B8"/>
    <w:rsid w:val="00CB5A18"/>
    <w:rsid w:val="00CB5D70"/>
    <w:rsid w:val="00CB5E68"/>
    <w:rsid w:val="00CB5FCD"/>
    <w:rsid w:val="00CB605B"/>
    <w:rsid w:val="00CB696E"/>
    <w:rsid w:val="00CB70F4"/>
    <w:rsid w:val="00CB737A"/>
    <w:rsid w:val="00CB7430"/>
    <w:rsid w:val="00CB7453"/>
    <w:rsid w:val="00CB790D"/>
    <w:rsid w:val="00CB79F3"/>
    <w:rsid w:val="00CB7AE8"/>
    <w:rsid w:val="00CB7B2A"/>
    <w:rsid w:val="00CB7C55"/>
    <w:rsid w:val="00CC0243"/>
    <w:rsid w:val="00CC02A2"/>
    <w:rsid w:val="00CC0357"/>
    <w:rsid w:val="00CC0404"/>
    <w:rsid w:val="00CC0563"/>
    <w:rsid w:val="00CC05A0"/>
    <w:rsid w:val="00CC0796"/>
    <w:rsid w:val="00CC0A1D"/>
    <w:rsid w:val="00CC0B4A"/>
    <w:rsid w:val="00CC0FFD"/>
    <w:rsid w:val="00CC120E"/>
    <w:rsid w:val="00CC15A0"/>
    <w:rsid w:val="00CC168C"/>
    <w:rsid w:val="00CC19C9"/>
    <w:rsid w:val="00CC1A82"/>
    <w:rsid w:val="00CC1B8F"/>
    <w:rsid w:val="00CC1DA4"/>
    <w:rsid w:val="00CC21D2"/>
    <w:rsid w:val="00CC2263"/>
    <w:rsid w:val="00CC29D4"/>
    <w:rsid w:val="00CC2A6F"/>
    <w:rsid w:val="00CC2C2C"/>
    <w:rsid w:val="00CC2C53"/>
    <w:rsid w:val="00CC2CE4"/>
    <w:rsid w:val="00CC30E6"/>
    <w:rsid w:val="00CC31D1"/>
    <w:rsid w:val="00CC3241"/>
    <w:rsid w:val="00CC33B3"/>
    <w:rsid w:val="00CC3598"/>
    <w:rsid w:val="00CC37A7"/>
    <w:rsid w:val="00CC38C0"/>
    <w:rsid w:val="00CC3A24"/>
    <w:rsid w:val="00CC3F4E"/>
    <w:rsid w:val="00CC3FF2"/>
    <w:rsid w:val="00CC405D"/>
    <w:rsid w:val="00CC455A"/>
    <w:rsid w:val="00CC469F"/>
    <w:rsid w:val="00CC4D9D"/>
    <w:rsid w:val="00CC4DBF"/>
    <w:rsid w:val="00CC4FF2"/>
    <w:rsid w:val="00CC55B9"/>
    <w:rsid w:val="00CC574B"/>
    <w:rsid w:val="00CC5A2B"/>
    <w:rsid w:val="00CC5CAD"/>
    <w:rsid w:val="00CC5CCD"/>
    <w:rsid w:val="00CC5CF1"/>
    <w:rsid w:val="00CC6018"/>
    <w:rsid w:val="00CC6571"/>
    <w:rsid w:val="00CC6576"/>
    <w:rsid w:val="00CC6878"/>
    <w:rsid w:val="00CC69FE"/>
    <w:rsid w:val="00CC6C9A"/>
    <w:rsid w:val="00CC6E8E"/>
    <w:rsid w:val="00CC6F86"/>
    <w:rsid w:val="00CC72E2"/>
    <w:rsid w:val="00CC75AC"/>
    <w:rsid w:val="00CC76EB"/>
    <w:rsid w:val="00CC7C3F"/>
    <w:rsid w:val="00CC7C71"/>
    <w:rsid w:val="00CD0157"/>
    <w:rsid w:val="00CD01FF"/>
    <w:rsid w:val="00CD03A2"/>
    <w:rsid w:val="00CD08ED"/>
    <w:rsid w:val="00CD0E8A"/>
    <w:rsid w:val="00CD10FE"/>
    <w:rsid w:val="00CD1171"/>
    <w:rsid w:val="00CD11D6"/>
    <w:rsid w:val="00CD15AE"/>
    <w:rsid w:val="00CD1922"/>
    <w:rsid w:val="00CD1E80"/>
    <w:rsid w:val="00CD266A"/>
    <w:rsid w:val="00CD2B75"/>
    <w:rsid w:val="00CD2FFB"/>
    <w:rsid w:val="00CD3660"/>
    <w:rsid w:val="00CD375C"/>
    <w:rsid w:val="00CD3DB3"/>
    <w:rsid w:val="00CD4088"/>
    <w:rsid w:val="00CD42E5"/>
    <w:rsid w:val="00CD4980"/>
    <w:rsid w:val="00CD4F7E"/>
    <w:rsid w:val="00CD5310"/>
    <w:rsid w:val="00CD54E3"/>
    <w:rsid w:val="00CD573A"/>
    <w:rsid w:val="00CD5782"/>
    <w:rsid w:val="00CD5AC0"/>
    <w:rsid w:val="00CD5FE3"/>
    <w:rsid w:val="00CD6852"/>
    <w:rsid w:val="00CD6922"/>
    <w:rsid w:val="00CD69F8"/>
    <w:rsid w:val="00CD6BB2"/>
    <w:rsid w:val="00CD6DDF"/>
    <w:rsid w:val="00CD706F"/>
    <w:rsid w:val="00CD730E"/>
    <w:rsid w:val="00CD730F"/>
    <w:rsid w:val="00CD73B8"/>
    <w:rsid w:val="00CD73C8"/>
    <w:rsid w:val="00CD74AD"/>
    <w:rsid w:val="00CD74C6"/>
    <w:rsid w:val="00CD751A"/>
    <w:rsid w:val="00CD7890"/>
    <w:rsid w:val="00CD78FD"/>
    <w:rsid w:val="00CD7931"/>
    <w:rsid w:val="00CD7A06"/>
    <w:rsid w:val="00CD7A25"/>
    <w:rsid w:val="00CD7C06"/>
    <w:rsid w:val="00CE0172"/>
    <w:rsid w:val="00CE075E"/>
    <w:rsid w:val="00CE07C1"/>
    <w:rsid w:val="00CE0AA2"/>
    <w:rsid w:val="00CE0C0C"/>
    <w:rsid w:val="00CE0CD3"/>
    <w:rsid w:val="00CE0F63"/>
    <w:rsid w:val="00CE1514"/>
    <w:rsid w:val="00CE16E1"/>
    <w:rsid w:val="00CE17A9"/>
    <w:rsid w:val="00CE17C4"/>
    <w:rsid w:val="00CE1DF5"/>
    <w:rsid w:val="00CE1F66"/>
    <w:rsid w:val="00CE1FF7"/>
    <w:rsid w:val="00CE2012"/>
    <w:rsid w:val="00CE219A"/>
    <w:rsid w:val="00CE2627"/>
    <w:rsid w:val="00CE2696"/>
    <w:rsid w:val="00CE2813"/>
    <w:rsid w:val="00CE2CA8"/>
    <w:rsid w:val="00CE2D02"/>
    <w:rsid w:val="00CE2F90"/>
    <w:rsid w:val="00CE3023"/>
    <w:rsid w:val="00CE30B8"/>
    <w:rsid w:val="00CE321D"/>
    <w:rsid w:val="00CE32AB"/>
    <w:rsid w:val="00CE35CD"/>
    <w:rsid w:val="00CE3662"/>
    <w:rsid w:val="00CE3860"/>
    <w:rsid w:val="00CE3965"/>
    <w:rsid w:val="00CE3B77"/>
    <w:rsid w:val="00CE415F"/>
    <w:rsid w:val="00CE4876"/>
    <w:rsid w:val="00CE4899"/>
    <w:rsid w:val="00CE4964"/>
    <w:rsid w:val="00CE4B4D"/>
    <w:rsid w:val="00CE4D6C"/>
    <w:rsid w:val="00CE4E49"/>
    <w:rsid w:val="00CE50F5"/>
    <w:rsid w:val="00CE557A"/>
    <w:rsid w:val="00CE5970"/>
    <w:rsid w:val="00CE5B55"/>
    <w:rsid w:val="00CE5D5C"/>
    <w:rsid w:val="00CE5DA3"/>
    <w:rsid w:val="00CE5EF8"/>
    <w:rsid w:val="00CE60E3"/>
    <w:rsid w:val="00CE61C2"/>
    <w:rsid w:val="00CE6756"/>
    <w:rsid w:val="00CE68AD"/>
    <w:rsid w:val="00CE6B04"/>
    <w:rsid w:val="00CE6B44"/>
    <w:rsid w:val="00CE6E11"/>
    <w:rsid w:val="00CE6F9C"/>
    <w:rsid w:val="00CE7028"/>
    <w:rsid w:val="00CE7196"/>
    <w:rsid w:val="00CE732E"/>
    <w:rsid w:val="00CE754C"/>
    <w:rsid w:val="00CE7B60"/>
    <w:rsid w:val="00CE7D0C"/>
    <w:rsid w:val="00CE7E1C"/>
    <w:rsid w:val="00CE7EFF"/>
    <w:rsid w:val="00CF0034"/>
    <w:rsid w:val="00CF05AF"/>
    <w:rsid w:val="00CF0888"/>
    <w:rsid w:val="00CF0942"/>
    <w:rsid w:val="00CF0D7A"/>
    <w:rsid w:val="00CF0E20"/>
    <w:rsid w:val="00CF1281"/>
    <w:rsid w:val="00CF13E3"/>
    <w:rsid w:val="00CF1610"/>
    <w:rsid w:val="00CF17F1"/>
    <w:rsid w:val="00CF19F6"/>
    <w:rsid w:val="00CF1A70"/>
    <w:rsid w:val="00CF1F6D"/>
    <w:rsid w:val="00CF1F7C"/>
    <w:rsid w:val="00CF208F"/>
    <w:rsid w:val="00CF24A5"/>
    <w:rsid w:val="00CF2C42"/>
    <w:rsid w:val="00CF3098"/>
    <w:rsid w:val="00CF30BB"/>
    <w:rsid w:val="00CF35F5"/>
    <w:rsid w:val="00CF3625"/>
    <w:rsid w:val="00CF382E"/>
    <w:rsid w:val="00CF3E56"/>
    <w:rsid w:val="00CF4047"/>
    <w:rsid w:val="00CF4320"/>
    <w:rsid w:val="00CF4525"/>
    <w:rsid w:val="00CF5020"/>
    <w:rsid w:val="00CF5365"/>
    <w:rsid w:val="00CF5543"/>
    <w:rsid w:val="00CF583E"/>
    <w:rsid w:val="00CF5A7A"/>
    <w:rsid w:val="00CF5C2F"/>
    <w:rsid w:val="00CF5D2B"/>
    <w:rsid w:val="00CF600B"/>
    <w:rsid w:val="00CF60F4"/>
    <w:rsid w:val="00CF61D5"/>
    <w:rsid w:val="00CF6444"/>
    <w:rsid w:val="00CF655E"/>
    <w:rsid w:val="00CF6A6B"/>
    <w:rsid w:val="00CF6AFD"/>
    <w:rsid w:val="00CF6DDE"/>
    <w:rsid w:val="00CF6E2C"/>
    <w:rsid w:val="00CF72A9"/>
    <w:rsid w:val="00CF738C"/>
    <w:rsid w:val="00CF7412"/>
    <w:rsid w:val="00CF7702"/>
    <w:rsid w:val="00CF788D"/>
    <w:rsid w:val="00CF7C1B"/>
    <w:rsid w:val="00CF7D86"/>
    <w:rsid w:val="00CF7EBE"/>
    <w:rsid w:val="00D00389"/>
    <w:rsid w:val="00D00917"/>
    <w:rsid w:val="00D00A47"/>
    <w:rsid w:val="00D00EC6"/>
    <w:rsid w:val="00D011BA"/>
    <w:rsid w:val="00D01438"/>
    <w:rsid w:val="00D01509"/>
    <w:rsid w:val="00D0152C"/>
    <w:rsid w:val="00D01630"/>
    <w:rsid w:val="00D016AF"/>
    <w:rsid w:val="00D016B5"/>
    <w:rsid w:val="00D017E0"/>
    <w:rsid w:val="00D01CFD"/>
    <w:rsid w:val="00D021B8"/>
    <w:rsid w:val="00D027AB"/>
    <w:rsid w:val="00D02988"/>
    <w:rsid w:val="00D02B8C"/>
    <w:rsid w:val="00D02C02"/>
    <w:rsid w:val="00D02FBB"/>
    <w:rsid w:val="00D03349"/>
    <w:rsid w:val="00D03660"/>
    <w:rsid w:val="00D03717"/>
    <w:rsid w:val="00D040CE"/>
    <w:rsid w:val="00D0465F"/>
    <w:rsid w:val="00D046BE"/>
    <w:rsid w:val="00D05097"/>
    <w:rsid w:val="00D05578"/>
    <w:rsid w:val="00D0581A"/>
    <w:rsid w:val="00D058C6"/>
    <w:rsid w:val="00D05973"/>
    <w:rsid w:val="00D05E6A"/>
    <w:rsid w:val="00D05E76"/>
    <w:rsid w:val="00D05F78"/>
    <w:rsid w:val="00D0660E"/>
    <w:rsid w:val="00D0678E"/>
    <w:rsid w:val="00D06917"/>
    <w:rsid w:val="00D0698E"/>
    <w:rsid w:val="00D07269"/>
    <w:rsid w:val="00D07363"/>
    <w:rsid w:val="00D07AA4"/>
    <w:rsid w:val="00D07C57"/>
    <w:rsid w:val="00D07E10"/>
    <w:rsid w:val="00D07FA6"/>
    <w:rsid w:val="00D10056"/>
    <w:rsid w:val="00D10354"/>
    <w:rsid w:val="00D1055B"/>
    <w:rsid w:val="00D10A0F"/>
    <w:rsid w:val="00D10A8A"/>
    <w:rsid w:val="00D10C7A"/>
    <w:rsid w:val="00D10E48"/>
    <w:rsid w:val="00D10F31"/>
    <w:rsid w:val="00D110A0"/>
    <w:rsid w:val="00D11336"/>
    <w:rsid w:val="00D114B5"/>
    <w:rsid w:val="00D11C96"/>
    <w:rsid w:val="00D1207B"/>
    <w:rsid w:val="00D121EC"/>
    <w:rsid w:val="00D12482"/>
    <w:rsid w:val="00D127E0"/>
    <w:rsid w:val="00D12B03"/>
    <w:rsid w:val="00D12D7E"/>
    <w:rsid w:val="00D12F4E"/>
    <w:rsid w:val="00D12F88"/>
    <w:rsid w:val="00D1326C"/>
    <w:rsid w:val="00D1371A"/>
    <w:rsid w:val="00D13A79"/>
    <w:rsid w:val="00D13F6E"/>
    <w:rsid w:val="00D14454"/>
    <w:rsid w:val="00D147EB"/>
    <w:rsid w:val="00D14FAA"/>
    <w:rsid w:val="00D156A7"/>
    <w:rsid w:val="00D1594B"/>
    <w:rsid w:val="00D15B28"/>
    <w:rsid w:val="00D162EB"/>
    <w:rsid w:val="00D16420"/>
    <w:rsid w:val="00D16961"/>
    <w:rsid w:val="00D16B3A"/>
    <w:rsid w:val="00D16BD2"/>
    <w:rsid w:val="00D16FF3"/>
    <w:rsid w:val="00D17140"/>
    <w:rsid w:val="00D173FD"/>
    <w:rsid w:val="00D175B1"/>
    <w:rsid w:val="00D17614"/>
    <w:rsid w:val="00D17A22"/>
    <w:rsid w:val="00D17A47"/>
    <w:rsid w:val="00D17B85"/>
    <w:rsid w:val="00D17C2E"/>
    <w:rsid w:val="00D20372"/>
    <w:rsid w:val="00D205E7"/>
    <w:rsid w:val="00D2090B"/>
    <w:rsid w:val="00D20CAA"/>
    <w:rsid w:val="00D2110B"/>
    <w:rsid w:val="00D213B2"/>
    <w:rsid w:val="00D214CF"/>
    <w:rsid w:val="00D216EB"/>
    <w:rsid w:val="00D21760"/>
    <w:rsid w:val="00D21A51"/>
    <w:rsid w:val="00D224BF"/>
    <w:rsid w:val="00D22815"/>
    <w:rsid w:val="00D22DCF"/>
    <w:rsid w:val="00D22E34"/>
    <w:rsid w:val="00D23029"/>
    <w:rsid w:val="00D2307C"/>
    <w:rsid w:val="00D233D5"/>
    <w:rsid w:val="00D2398B"/>
    <w:rsid w:val="00D23B4F"/>
    <w:rsid w:val="00D23EEE"/>
    <w:rsid w:val="00D23F4D"/>
    <w:rsid w:val="00D23F7A"/>
    <w:rsid w:val="00D23FE6"/>
    <w:rsid w:val="00D24097"/>
    <w:rsid w:val="00D24280"/>
    <w:rsid w:val="00D2432A"/>
    <w:rsid w:val="00D24413"/>
    <w:rsid w:val="00D248EA"/>
    <w:rsid w:val="00D24BA6"/>
    <w:rsid w:val="00D24C8B"/>
    <w:rsid w:val="00D2518C"/>
    <w:rsid w:val="00D260B5"/>
    <w:rsid w:val="00D26118"/>
    <w:rsid w:val="00D26376"/>
    <w:rsid w:val="00D264C8"/>
    <w:rsid w:val="00D267DA"/>
    <w:rsid w:val="00D268BD"/>
    <w:rsid w:val="00D2695C"/>
    <w:rsid w:val="00D26969"/>
    <w:rsid w:val="00D26A8B"/>
    <w:rsid w:val="00D26A97"/>
    <w:rsid w:val="00D26CD9"/>
    <w:rsid w:val="00D26DF5"/>
    <w:rsid w:val="00D26F27"/>
    <w:rsid w:val="00D273EF"/>
    <w:rsid w:val="00D27A8A"/>
    <w:rsid w:val="00D27DA5"/>
    <w:rsid w:val="00D27E29"/>
    <w:rsid w:val="00D27F62"/>
    <w:rsid w:val="00D300EE"/>
    <w:rsid w:val="00D3028F"/>
    <w:rsid w:val="00D30623"/>
    <w:rsid w:val="00D30669"/>
    <w:rsid w:val="00D30AE1"/>
    <w:rsid w:val="00D31E8B"/>
    <w:rsid w:val="00D31F1F"/>
    <w:rsid w:val="00D32284"/>
    <w:rsid w:val="00D326D0"/>
    <w:rsid w:val="00D3289B"/>
    <w:rsid w:val="00D32E67"/>
    <w:rsid w:val="00D32FE4"/>
    <w:rsid w:val="00D330BD"/>
    <w:rsid w:val="00D331ED"/>
    <w:rsid w:val="00D331EE"/>
    <w:rsid w:val="00D335A5"/>
    <w:rsid w:val="00D33A64"/>
    <w:rsid w:val="00D33BD6"/>
    <w:rsid w:val="00D33D11"/>
    <w:rsid w:val="00D33FEB"/>
    <w:rsid w:val="00D34382"/>
    <w:rsid w:val="00D3449B"/>
    <w:rsid w:val="00D3482E"/>
    <w:rsid w:val="00D34CF6"/>
    <w:rsid w:val="00D34E24"/>
    <w:rsid w:val="00D34EC9"/>
    <w:rsid w:val="00D350EB"/>
    <w:rsid w:val="00D35415"/>
    <w:rsid w:val="00D35455"/>
    <w:rsid w:val="00D359C7"/>
    <w:rsid w:val="00D35E48"/>
    <w:rsid w:val="00D35F11"/>
    <w:rsid w:val="00D364DA"/>
    <w:rsid w:val="00D36830"/>
    <w:rsid w:val="00D369F2"/>
    <w:rsid w:val="00D36AC3"/>
    <w:rsid w:val="00D36B11"/>
    <w:rsid w:val="00D36B1E"/>
    <w:rsid w:val="00D36C2C"/>
    <w:rsid w:val="00D36C96"/>
    <w:rsid w:val="00D36D65"/>
    <w:rsid w:val="00D37242"/>
    <w:rsid w:val="00D37418"/>
    <w:rsid w:val="00D3766A"/>
    <w:rsid w:val="00D37699"/>
    <w:rsid w:val="00D37E2D"/>
    <w:rsid w:val="00D37F57"/>
    <w:rsid w:val="00D4070B"/>
    <w:rsid w:val="00D40E65"/>
    <w:rsid w:val="00D41114"/>
    <w:rsid w:val="00D4126D"/>
    <w:rsid w:val="00D416B5"/>
    <w:rsid w:val="00D4177B"/>
    <w:rsid w:val="00D41B9C"/>
    <w:rsid w:val="00D41CB6"/>
    <w:rsid w:val="00D41E1C"/>
    <w:rsid w:val="00D4206F"/>
    <w:rsid w:val="00D421F8"/>
    <w:rsid w:val="00D423BC"/>
    <w:rsid w:val="00D42818"/>
    <w:rsid w:val="00D4283A"/>
    <w:rsid w:val="00D42974"/>
    <w:rsid w:val="00D42CB8"/>
    <w:rsid w:val="00D43125"/>
    <w:rsid w:val="00D436D5"/>
    <w:rsid w:val="00D437B4"/>
    <w:rsid w:val="00D43859"/>
    <w:rsid w:val="00D439CB"/>
    <w:rsid w:val="00D43D99"/>
    <w:rsid w:val="00D43FF4"/>
    <w:rsid w:val="00D4492D"/>
    <w:rsid w:val="00D44B62"/>
    <w:rsid w:val="00D44D67"/>
    <w:rsid w:val="00D45195"/>
    <w:rsid w:val="00D4567B"/>
    <w:rsid w:val="00D45CCF"/>
    <w:rsid w:val="00D461F9"/>
    <w:rsid w:val="00D46872"/>
    <w:rsid w:val="00D46AA8"/>
    <w:rsid w:val="00D46F7D"/>
    <w:rsid w:val="00D47151"/>
    <w:rsid w:val="00D47A32"/>
    <w:rsid w:val="00D47B25"/>
    <w:rsid w:val="00D47BEE"/>
    <w:rsid w:val="00D50056"/>
    <w:rsid w:val="00D50254"/>
    <w:rsid w:val="00D5039C"/>
    <w:rsid w:val="00D5069A"/>
    <w:rsid w:val="00D50721"/>
    <w:rsid w:val="00D50946"/>
    <w:rsid w:val="00D5097C"/>
    <w:rsid w:val="00D50A77"/>
    <w:rsid w:val="00D50E75"/>
    <w:rsid w:val="00D50FB1"/>
    <w:rsid w:val="00D51413"/>
    <w:rsid w:val="00D51A05"/>
    <w:rsid w:val="00D51BC5"/>
    <w:rsid w:val="00D51CAC"/>
    <w:rsid w:val="00D51E7A"/>
    <w:rsid w:val="00D5224E"/>
    <w:rsid w:val="00D52381"/>
    <w:rsid w:val="00D52509"/>
    <w:rsid w:val="00D52723"/>
    <w:rsid w:val="00D52785"/>
    <w:rsid w:val="00D529F7"/>
    <w:rsid w:val="00D52C65"/>
    <w:rsid w:val="00D5306C"/>
    <w:rsid w:val="00D53282"/>
    <w:rsid w:val="00D5363A"/>
    <w:rsid w:val="00D543E5"/>
    <w:rsid w:val="00D54729"/>
    <w:rsid w:val="00D54F29"/>
    <w:rsid w:val="00D5516C"/>
    <w:rsid w:val="00D5529D"/>
    <w:rsid w:val="00D55444"/>
    <w:rsid w:val="00D55D91"/>
    <w:rsid w:val="00D55F40"/>
    <w:rsid w:val="00D56E30"/>
    <w:rsid w:val="00D56F2C"/>
    <w:rsid w:val="00D57373"/>
    <w:rsid w:val="00D5749C"/>
    <w:rsid w:val="00D574B1"/>
    <w:rsid w:val="00D576F3"/>
    <w:rsid w:val="00D57E61"/>
    <w:rsid w:val="00D60425"/>
    <w:rsid w:val="00D604B6"/>
    <w:rsid w:val="00D604FA"/>
    <w:rsid w:val="00D6066D"/>
    <w:rsid w:val="00D60810"/>
    <w:rsid w:val="00D60A1B"/>
    <w:rsid w:val="00D612EB"/>
    <w:rsid w:val="00D613C7"/>
    <w:rsid w:val="00D61416"/>
    <w:rsid w:val="00D6148C"/>
    <w:rsid w:val="00D61524"/>
    <w:rsid w:val="00D615CF"/>
    <w:rsid w:val="00D61882"/>
    <w:rsid w:val="00D61A65"/>
    <w:rsid w:val="00D61C03"/>
    <w:rsid w:val="00D61EA3"/>
    <w:rsid w:val="00D624F7"/>
    <w:rsid w:val="00D62576"/>
    <w:rsid w:val="00D625BE"/>
    <w:rsid w:val="00D6270A"/>
    <w:rsid w:val="00D62E30"/>
    <w:rsid w:val="00D6315B"/>
    <w:rsid w:val="00D63279"/>
    <w:rsid w:val="00D636C4"/>
    <w:rsid w:val="00D63860"/>
    <w:rsid w:val="00D63964"/>
    <w:rsid w:val="00D63E1A"/>
    <w:rsid w:val="00D64123"/>
    <w:rsid w:val="00D643F1"/>
    <w:rsid w:val="00D64534"/>
    <w:rsid w:val="00D650DE"/>
    <w:rsid w:val="00D65270"/>
    <w:rsid w:val="00D65560"/>
    <w:rsid w:val="00D65691"/>
    <w:rsid w:val="00D65D10"/>
    <w:rsid w:val="00D65F59"/>
    <w:rsid w:val="00D66024"/>
    <w:rsid w:val="00D66344"/>
    <w:rsid w:val="00D66764"/>
    <w:rsid w:val="00D668E5"/>
    <w:rsid w:val="00D66BCF"/>
    <w:rsid w:val="00D66C9E"/>
    <w:rsid w:val="00D66E3D"/>
    <w:rsid w:val="00D66EF5"/>
    <w:rsid w:val="00D672D9"/>
    <w:rsid w:val="00D677DE"/>
    <w:rsid w:val="00D67CE6"/>
    <w:rsid w:val="00D67D84"/>
    <w:rsid w:val="00D67FE6"/>
    <w:rsid w:val="00D7051A"/>
    <w:rsid w:val="00D70548"/>
    <w:rsid w:val="00D7082A"/>
    <w:rsid w:val="00D708F7"/>
    <w:rsid w:val="00D7099B"/>
    <w:rsid w:val="00D714FE"/>
    <w:rsid w:val="00D71561"/>
    <w:rsid w:val="00D716C8"/>
    <w:rsid w:val="00D716FA"/>
    <w:rsid w:val="00D71AC1"/>
    <w:rsid w:val="00D71AD9"/>
    <w:rsid w:val="00D71C2D"/>
    <w:rsid w:val="00D71C56"/>
    <w:rsid w:val="00D72076"/>
    <w:rsid w:val="00D720F3"/>
    <w:rsid w:val="00D7235C"/>
    <w:rsid w:val="00D725E1"/>
    <w:rsid w:val="00D7303C"/>
    <w:rsid w:val="00D733DB"/>
    <w:rsid w:val="00D7395A"/>
    <w:rsid w:val="00D73A37"/>
    <w:rsid w:val="00D73B0E"/>
    <w:rsid w:val="00D73BE4"/>
    <w:rsid w:val="00D73D14"/>
    <w:rsid w:val="00D740A3"/>
    <w:rsid w:val="00D74486"/>
    <w:rsid w:val="00D74C4F"/>
    <w:rsid w:val="00D74D21"/>
    <w:rsid w:val="00D74EBE"/>
    <w:rsid w:val="00D752A5"/>
    <w:rsid w:val="00D7583D"/>
    <w:rsid w:val="00D7609B"/>
    <w:rsid w:val="00D7679E"/>
    <w:rsid w:val="00D769F3"/>
    <w:rsid w:val="00D76D6B"/>
    <w:rsid w:val="00D76D88"/>
    <w:rsid w:val="00D775ED"/>
    <w:rsid w:val="00D778CC"/>
    <w:rsid w:val="00D779BB"/>
    <w:rsid w:val="00D77B95"/>
    <w:rsid w:val="00D77DDB"/>
    <w:rsid w:val="00D800E6"/>
    <w:rsid w:val="00D807C1"/>
    <w:rsid w:val="00D80B30"/>
    <w:rsid w:val="00D80CBA"/>
    <w:rsid w:val="00D80DB9"/>
    <w:rsid w:val="00D80E14"/>
    <w:rsid w:val="00D80EBA"/>
    <w:rsid w:val="00D80F42"/>
    <w:rsid w:val="00D80F98"/>
    <w:rsid w:val="00D8131E"/>
    <w:rsid w:val="00D81DDA"/>
    <w:rsid w:val="00D81F30"/>
    <w:rsid w:val="00D8201A"/>
    <w:rsid w:val="00D82277"/>
    <w:rsid w:val="00D82295"/>
    <w:rsid w:val="00D822A0"/>
    <w:rsid w:val="00D822A2"/>
    <w:rsid w:val="00D826E4"/>
    <w:rsid w:val="00D828ED"/>
    <w:rsid w:val="00D82D42"/>
    <w:rsid w:val="00D82FAC"/>
    <w:rsid w:val="00D8318D"/>
    <w:rsid w:val="00D83658"/>
    <w:rsid w:val="00D837F0"/>
    <w:rsid w:val="00D83C61"/>
    <w:rsid w:val="00D846A2"/>
    <w:rsid w:val="00D84725"/>
    <w:rsid w:val="00D847B0"/>
    <w:rsid w:val="00D84D07"/>
    <w:rsid w:val="00D8516B"/>
    <w:rsid w:val="00D85816"/>
    <w:rsid w:val="00D85AAC"/>
    <w:rsid w:val="00D85BA5"/>
    <w:rsid w:val="00D85CFD"/>
    <w:rsid w:val="00D85DB5"/>
    <w:rsid w:val="00D85E42"/>
    <w:rsid w:val="00D86044"/>
    <w:rsid w:val="00D86377"/>
    <w:rsid w:val="00D863B0"/>
    <w:rsid w:val="00D863F7"/>
    <w:rsid w:val="00D867D4"/>
    <w:rsid w:val="00D86CB8"/>
    <w:rsid w:val="00D86D3A"/>
    <w:rsid w:val="00D86FA7"/>
    <w:rsid w:val="00D871CA"/>
    <w:rsid w:val="00D873BF"/>
    <w:rsid w:val="00D87BA2"/>
    <w:rsid w:val="00D87D57"/>
    <w:rsid w:val="00D903AB"/>
    <w:rsid w:val="00D90447"/>
    <w:rsid w:val="00D90916"/>
    <w:rsid w:val="00D90A24"/>
    <w:rsid w:val="00D90D29"/>
    <w:rsid w:val="00D90DDE"/>
    <w:rsid w:val="00D91101"/>
    <w:rsid w:val="00D91112"/>
    <w:rsid w:val="00D913D6"/>
    <w:rsid w:val="00D9157C"/>
    <w:rsid w:val="00D9174B"/>
    <w:rsid w:val="00D91B89"/>
    <w:rsid w:val="00D91E17"/>
    <w:rsid w:val="00D9278B"/>
    <w:rsid w:val="00D92820"/>
    <w:rsid w:val="00D92C9B"/>
    <w:rsid w:val="00D92E5A"/>
    <w:rsid w:val="00D93339"/>
    <w:rsid w:val="00D9353E"/>
    <w:rsid w:val="00D93A57"/>
    <w:rsid w:val="00D93ABF"/>
    <w:rsid w:val="00D93BB1"/>
    <w:rsid w:val="00D94548"/>
    <w:rsid w:val="00D9456F"/>
    <w:rsid w:val="00D94B54"/>
    <w:rsid w:val="00D94CD8"/>
    <w:rsid w:val="00D94F18"/>
    <w:rsid w:val="00D95966"/>
    <w:rsid w:val="00D95CA0"/>
    <w:rsid w:val="00D95F42"/>
    <w:rsid w:val="00D9619A"/>
    <w:rsid w:val="00D9649E"/>
    <w:rsid w:val="00D96779"/>
    <w:rsid w:val="00D969D5"/>
    <w:rsid w:val="00D96C7E"/>
    <w:rsid w:val="00D96E55"/>
    <w:rsid w:val="00D96E7B"/>
    <w:rsid w:val="00D96E9F"/>
    <w:rsid w:val="00D970D8"/>
    <w:rsid w:val="00D9713E"/>
    <w:rsid w:val="00D97477"/>
    <w:rsid w:val="00D97A10"/>
    <w:rsid w:val="00D97A35"/>
    <w:rsid w:val="00D97BD5"/>
    <w:rsid w:val="00D97C54"/>
    <w:rsid w:val="00D97D07"/>
    <w:rsid w:val="00DA0239"/>
    <w:rsid w:val="00DA045F"/>
    <w:rsid w:val="00DA0778"/>
    <w:rsid w:val="00DA080E"/>
    <w:rsid w:val="00DA0DDE"/>
    <w:rsid w:val="00DA0E77"/>
    <w:rsid w:val="00DA13F3"/>
    <w:rsid w:val="00DA1A35"/>
    <w:rsid w:val="00DA1A8F"/>
    <w:rsid w:val="00DA1AF9"/>
    <w:rsid w:val="00DA20AD"/>
    <w:rsid w:val="00DA246E"/>
    <w:rsid w:val="00DA2971"/>
    <w:rsid w:val="00DA29C0"/>
    <w:rsid w:val="00DA2AFF"/>
    <w:rsid w:val="00DA2DF8"/>
    <w:rsid w:val="00DA2DF9"/>
    <w:rsid w:val="00DA30D6"/>
    <w:rsid w:val="00DA310E"/>
    <w:rsid w:val="00DA3881"/>
    <w:rsid w:val="00DA39E3"/>
    <w:rsid w:val="00DA3AD2"/>
    <w:rsid w:val="00DA3DF0"/>
    <w:rsid w:val="00DA408A"/>
    <w:rsid w:val="00DA413C"/>
    <w:rsid w:val="00DA430C"/>
    <w:rsid w:val="00DA4415"/>
    <w:rsid w:val="00DA4E5C"/>
    <w:rsid w:val="00DA573C"/>
    <w:rsid w:val="00DA581C"/>
    <w:rsid w:val="00DA591E"/>
    <w:rsid w:val="00DA6140"/>
    <w:rsid w:val="00DA67DC"/>
    <w:rsid w:val="00DA69B7"/>
    <w:rsid w:val="00DA6C9E"/>
    <w:rsid w:val="00DA6EC5"/>
    <w:rsid w:val="00DA6F60"/>
    <w:rsid w:val="00DA711F"/>
    <w:rsid w:val="00DA71CE"/>
    <w:rsid w:val="00DA752A"/>
    <w:rsid w:val="00DB0128"/>
    <w:rsid w:val="00DB0136"/>
    <w:rsid w:val="00DB0429"/>
    <w:rsid w:val="00DB04D9"/>
    <w:rsid w:val="00DB052F"/>
    <w:rsid w:val="00DB0577"/>
    <w:rsid w:val="00DB0ADD"/>
    <w:rsid w:val="00DB0EF9"/>
    <w:rsid w:val="00DB1024"/>
    <w:rsid w:val="00DB1056"/>
    <w:rsid w:val="00DB1590"/>
    <w:rsid w:val="00DB1E2F"/>
    <w:rsid w:val="00DB1FA3"/>
    <w:rsid w:val="00DB23E7"/>
    <w:rsid w:val="00DB24A8"/>
    <w:rsid w:val="00DB24E6"/>
    <w:rsid w:val="00DB273C"/>
    <w:rsid w:val="00DB2A08"/>
    <w:rsid w:val="00DB2C8D"/>
    <w:rsid w:val="00DB2C9B"/>
    <w:rsid w:val="00DB2D0B"/>
    <w:rsid w:val="00DB2F1D"/>
    <w:rsid w:val="00DB312C"/>
    <w:rsid w:val="00DB34A1"/>
    <w:rsid w:val="00DB3A66"/>
    <w:rsid w:val="00DB4891"/>
    <w:rsid w:val="00DB4B76"/>
    <w:rsid w:val="00DB4ED1"/>
    <w:rsid w:val="00DB528A"/>
    <w:rsid w:val="00DB5420"/>
    <w:rsid w:val="00DB558F"/>
    <w:rsid w:val="00DB571A"/>
    <w:rsid w:val="00DB5A08"/>
    <w:rsid w:val="00DB5D8A"/>
    <w:rsid w:val="00DB5FD4"/>
    <w:rsid w:val="00DB6199"/>
    <w:rsid w:val="00DB6409"/>
    <w:rsid w:val="00DB64C6"/>
    <w:rsid w:val="00DB64FA"/>
    <w:rsid w:val="00DB6737"/>
    <w:rsid w:val="00DB6C64"/>
    <w:rsid w:val="00DB6DC1"/>
    <w:rsid w:val="00DB6E09"/>
    <w:rsid w:val="00DB6FD6"/>
    <w:rsid w:val="00DB71A9"/>
    <w:rsid w:val="00DB7566"/>
    <w:rsid w:val="00DB7988"/>
    <w:rsid w:val="00DB7A79"/>
    <w:rsid w:val="00DB7B4B"/>
    <w:rsid w:val="00DB7B76"/>
    <w:rsid w:val="00DB7DAF"/>
    <w:rsid w:val="00DC004F"/>
    <w:rsid w:val="00DC00DE"/>
    <w:rsid w:val="00DC019C"/>
    <w:rsid w:val="00DC022A"/>
    <w:rsid w:val="00DC0241"/>
    <w:rsid w:val="00DC04AE"/>
    <w:rsid w:val="00DC05F9"/>
    <w:rsid w:val="00DC067B"/>
    <w:rsid w:val="00DC0B25"/>
    <w:rsid w:val="00DC0BB5"/>
    <w:rsid w:val="00DC0C88"/>
    <w:rsid w:val="00DC0EDF"/>
    <w:rsid w:val="00DC1061"/>
    <w:rsid w:val="00DC10BE"/>
    <w:rsid w:val="00DC1426"/>
    <w:rsid w:val="00DC14EB"/>
    <w:rsid w:val="00DC1755"/>
    <w:rsid w:val="00DC19C0"/>
    <w:rsid w:val="00DC19DA"/>
    <w:rsid w:val="00DC1CAF"/>
    <w:rsid w:val="00DC1FAB"/>
    <w:rsid w:val="00DC20B4"/>
    <w:rsid w:val="00DC23EB"/>
    <w:rsid w:val="00DC2710"/>
    <w:rsid w:val="00DC28E4"/>
    <w:rsid w:val="00DC2906"/>
    <w:rsid w:val="00DC2A44"/>
    <w:rsid w:val="00DC2BAE"/>
    <w:rsid w:val="00DC2DC0"/>
    <w:rsid w:val="00DC2E52"/>
    <w:rsid w:val="00DC3672"/>
    <w:rsid w:val="00DC36EA"/>
    <w:rsid w:val="00DC3E16"/>
    <w:rsid w:val="00DC4448"/>
    <w:rsid w:val="00DC4987"/>
    <w:rsid w:val="00DC4DF1"/>
    <w:rsid w:val="00DC53C6"/>
    <w:rsid w:val="00DC553E"/>
    <w:rsid w:val="00DC5D79"/>
    <w:rsid w:val="00DC5EE8"/>
    <w:rsid w:val="00DC6313"/>
    <w:rsid w:val="00DC64B3"/>
    <w:rsid w:val="00DC6849"/>
    <w:rsid w:val="00DC6AF2"/>
    <w:rsid w:val="00DC6B36"/>
    <w:rsid w:val="00DC79D6"/>
    <w:rsid w:val="00DC7AA7"/>
    <w:rsid w:val="00DC7C9E"/>
    <w:rsid w:val="00DD0670"/>
    <w:rsid w:val="00DD0E89"/>
    <w:rsid w:val="00DD135A"/>
    <w:rsid w:val="00DD1460"/>
    <w:rsid w:val="00DD1B9A"/>
    <w:rsid w:val="00DD238F"/>
    <w:rsid w:val="00DD24A1"/>
    <w:rsid w:val="00DD25F4"/>
    <w:rsid w:val="00DD27DA"/>
    <w:rsid w:val="00DD2B2D"/>
    <w:rsid w:val="00DD2EFF"/>
    <w:rsid w:val="00DD2FB8"/>
    <w:rsid w:val="00DD3104"/>
    <w:rsid w:val="00DD3363"/>
    <w:rsid w:val="00DD36B6"/>
    <w:rsid w:val="00DD36BD"/>
    <w:rsid w:val="00DD37A7"/>
    <w:rsid w:val="00DD3824"/>
    <w:rsid w:val="00DD3925"/>
    <w:rsid w:val="00DD3B12"/>
    <w:rsid w:val="00DD3E0F"/>
    <w:rsid w:val="00DD3E1E"/>
    <w:rsid w:val="00DD3F0C"/>
    <w:rsid w:val="00DD3FE7"/>
    <w:rsid w:val="00DD40CD"/>
    <w:rsid w:val="00DD4182"/>
    <w:rsid w:val="00DD4239"/>
    <w:rsid w:val="00DD43EE"/>
    <w:rsid w:val="00DD44AE"/>
    <w:rsid w:val="00DD45FD"/>
    <w:rsid w:val="00DD469E"/>
    <w:rsid w:val="00DD472D"/>
    <w:rsid w:val="00DD486F"/>
    <w:rsid w:val="00DD4A52"/>
    <w:rsid w:val="00DD4C0A"/>
    <w:rsid w:val="00DD5226"/>
    <w:rsid w:val="00DD53CA"/>
    <w:rsid w:val="00DD5622"/>
    <w:rsid w:val="00DD5855"/>
    <w:rsid w:val="00DD5C9B"/>
    <w:rsid w:val="00DD6402"/>
    <w:rsid w:val="00DD670B"/>
    <w:rsid w:val="00DD6EC3"/>
    <w:rsid w:val="00DD6FB3"/>
    <w:rsid w:val="00DD720F"/>
    <w:rsid w:val="00DD74CA"/>
    <w:rsid w:val="00DD790D"/>
    <w:rsid w:val="00DD79B5"/>
    <w:rsid w:val="00DD7F3D"/>
    <w:rsid w:val="00DE007B"/>
    <w:rsid w:val="00DE01E6"/>
    <w:rsid w:val="00DE0A44"/>
    <w:rsid w:val="00DE0DFB"/>
    <w:rsid w:val="00DE0E44"/>
    <w:rsid w:val="00DE0F2B"/>
    <w:rsid w:val="00DE1647"/>
    <w:rsid w:val="00DE19D7"/>
    <w:rsid w:val="00DE1A43"/>
    <w:rsid w:val="00DE1B64"/>
    <w:rsid w:val="00DE1EB2"/>
    <w:rsid w:val="00DE21D5"/>
    <w:rsid w:val="00DE2245"/>
    <w:rsid w:val="00DE229E"/>
    <w:rsid w:val="00DE2450"/>
    <w:rsid w:val="00DE2481"/>
    <w:rsid w:val="00DE28C2"/>
    <w:rsid w:val="00DE2AA4"/>
    <w:rsid w:val="00DE30A8"/>
    <w:rsid w:val="00DE30D3"/>
    <w:rsid w:val="00DE3216"/>
    <w:rsid w:val="00DE38A9"/>
    <w:rsid w:val="00DE38AF"/>
    <w:rsid w:val="00DE3AB8"/>
    <w:rsid w:val="00DE3B87"/>
    <w:rsid w:val="00DE3E56"/>
    <w:rsid w:val="00DE43EA"/>
    <w:rsid w:val="00DE4425"/>
    <w:rsid w:val="00DE4C6D"/>
    <w:rsid w:val="00DE4C75"/>
    <w:rsid w:val="00DE4C79"/>
    <w:rsid w:val="00DE4C97"/>
    <w:rsid w:val="00DE5229"/>
    <w:rsid w:val="00DE5414"/>
    <w:rsid w:val="00DE54DD"/>
    <w:rsid w:val="00DE560C"/>
    <w:rsid w:val="00DE56C2"/>
    <w:rsid w:val="00DE58A7"/>
    <w:rsid w:val="00DE5BDC"/>
    <w:rsid w:val="00DE5CA8"/>
    <w:rsid w:val="00DE6009"/>
    <w:rsid w:val="00DE6145"/>
    <w:rsid w:val="00DE62DE"/>
    <w:rsid w:val="00DE62DF"/>
    <w:rsid w:val="00DE6349"/>
    <w:rsid w:val="00DE6431"/>
    <w:rsid w:val="00DE6485"/>
    <w:rsid w:val="00DE6501"/>
    <w:rsid w:val="00DE660D"/>
    <w:rsid w:val="00DE6774"/>
    <w:rsid w:val="00DE6A6D"/>
    <w:rsid w:val="00DE6C75"/>
    <w:rsid w:val="00DE6CED"/>
    <w:rsid w:val="00DE72D3"/>
    <w:rsid w:val="00DE7D35"/>
    <w:rsid w:val="00DF0066"/>
    <w:rsid w:val="00DF0621"/>
    <w:rsid w:val="00DF0697"/>
    <w:rsid w:val="00DF08BE"/>
    <w:rsid w:val="00DF0932"/>
    <w:rsid w:val="00DF0998"/>
    <w:rsid w:val="00DF09DB"/>
    <w:rsid w:val="00DF0A9E"/>
    <w:rsid w:val="00DF0ABE"/>
    <w:rsid w:val="00DF0B9D"/>
    <w:rsid w:val="00DF0C42"/>
    <w:rsid w:val="00DF0F42"/>
    <w:rsid w:val="00DF13F3"/>
    <w:rsid w:val="00DF15BC"/>
    <w:rsid w:val="00DF17D7"/>
    <w:rsid w:val="00DF1831"/>
    <w:rsid w:val="00DF1940"/>
    <w:rsid w:val="00DF1998"/>
    <w:rsid w:val="00DF1B13"/>
    <w:rsid w:val="00DF1B75"/>
    <w:rsid w:val="00DF1DED"/>
    <w:rsid w:val="00DF2094"/>
    <w:rsid w:val="00DF273A"/>
    <w:rsid w:val="00DF2BA2"/>
    <w:rsid w:val="00DF2D1C"/>
    <w:rsid w:val="00DF2FA9"/>
    <w:rsid w:val="00DF30BD"/>
    <w:rsid w:val="00DF322F"/>
    <w:rsid w:val="00DF3409"/>
    <w:rsid w:val="00DF384F"/>
    <w:rsid w:val="00DF38E6"/>
    <w:rsid w:val="00DF395D"/>
    <w:rsid w:val="00DF3F3E"/>
    <w:rsid w:val="00DF4124"/>
    <w:rsid w:val="00DF4198"/>
    <w:rsid w:val="00DF43DD"/>
    <w:rsid w:val="00DF448B"/>
    <w:rsid w:val="00DF45DE"/>
    <w:rsid w:val="00DF46BE"/>
    <w:rsid w:val="00DF4A49"/>
    <w:rsid w:val="00DF4C43"/>
    <w:rsid w:val="00DF4C5E"/>
    <w:rsid w:val="00DF4C67"/>
    <w:rsid w:val="00DF4C9F"/>
    <w:rsid w:val="00DF50D9"/>
    <w:rsid w:val="00DF57B4"/>
    <w:rsid w:val="00DF589C"/>
    <w:rsid w:val="00DF60AC"/>
    <w:rsid w:val="00DF61D8"/>
    <w:rsid w:val="00DF63A8"/>
    <w:rsid w:val="00DF64C8"/>
    <w:rsid w:val="00DF64D6"/>
    <w:rsid w:val="00DF6675"/>
    <w:rsid w:val="00DF673A"/>
    <w:rsid w:val="00DF6D80"/>
    <w:rsid w:val="00DF73EB"/>
    <w:rsid w:val="00DF7598"/>
    <w:rsid w:val="00DF789C"/>
    <w:rsid w:val="00DF790E"/>
    <w:rsid w:val="00DF7E54"/>
    <w:rsid w:val="00E001A0"/>
    <w:rsid w:val="00E00251"/>
    <w:rsid w:val="00E00551"/>
    <w:rsid w:val="00E005BF"/>
    <w:rsid w:val="00E008A7"/>
    <w:rsid w:val="00E00902"/>
    <w:rsid w:val="00E00A4E"/>
    <w:rsid w:val="00E00C75"/>
    <w:rsid w:val="00E00D3F"/>
    <w:rsid w:val="00E01962"/>
    <w:rsid w:val="00E01A59"/>
    <w:rsid w:val="00E01F2C"/>
    <w:rsid w:val="00E01F44"/>
    <w:rsid w:val="00E01FC5"/>
    <w:rsid w:val="00E02023"/>
    <w:rsid w:val="00E0216A"/>
    <w:rsid w:val="00E022F4"/>
    <w:rsid w:val="00E02C2F"/>
    <w:rsid w:val="00E02FEF"/>
    <w:rsid w:val="00E0311A"/>
    <w:rsid w:val="00E0361D"/>
    <w:rsid w:val="00E038C7"/>
    <w:rsid w:val="00E03E1C"/>
    <w:rsid w:val="00E03E8C"/>
    <w:rsid w:val="00E03EF7"/>
    <w:rsid w:val="00E03F58"/>
    <w:rsid w:val="00E04213"/>
    <w:rsid w:val="00E04403"/>
    <w:rsid w:val="00E0440E"/>
    <w:rsid w:val="00E044AC"/>
    <w:rsid w:val="00E04601"/>
    <w:rsid w:val="00E04749"/>
    <w:rsid w:val="00E047D0"/>
    <w:rsid w:val="00E049D2"/>
    <w:rsid w:val="00E04B93"/>
    <w:rsid w:val="00E04D55"/>
    <w:rsid w:val="00E04F2A"/>
    <w:rsid w:val="00E05078"/>
    <w:rsid w:val="00E051AF"/>
    <w:rsid w:val="00E0540A"/>
    <w:rsid w:val="00E0543F"/>
    <w:rsid w:val="00E055B6"/>
    <w:rsid w:val="00E055E7"/>
    <w:rsid w:val="00E055F5"/>
    <w:rsid w:val="00E058C2"/>
    <w:rsid w:val="00E05A4A"/>
    <w:rsid w:val="00E05B27"/>
    <w:rsid w:val="00E05C28"/>
    <w:rsid w:val="00E06457"/>
    <w:rsid w:val="00E065D7"/>
    <w:rsid w:val="00E06812"/>
    <w:rsid w:val="00E06B4E"/>
    <w:rsid w:val="00E06CFD"/>
    <w:rsid w:val="00E06D8C"/>
    <w:rsid w:val="00E0705E"/>
    <w:rsid w:val="00E0728D"/>
    <w:rsid w:val="00E0733C"/>
    <w:rsid w:val="00E073F7"/>
    <w:rsid w:val="00E0782A"/>
    <w:rsid w:val="00E079F6"/>
    <w:rsid w:val="00E07A10"/>
    <w:rsid w:val="00E07BDC"/>
    <w:rsid w:val="00E10009"/>
    <w:rsid w:val="00E100D9"/>
    <w:rsid w:val="00E10553"/>
    <w:rsid w:val="00E10558"/>
    <w:rsid w:val="00E105BF"/>
    <w:rsid w:val="00E109EE"/>
    <w:rsid w:val="00E10A77"/>
    <w:rsid w:val="00E10B42"/>
    <w:rsid w:val="00E10B63"/>
    <w:rsid w:val="00E10C89"/>
    <w:rsid w:val="00E10D43"/>
    <w:rsid w:val="00E111A5"/>
    <w:rsid w:val="00E1140B"/>
    <w:rsid w:val="00E1159B"/>
    <w:rsid w:val="00E115D0"/>
    <w:rsid w:val="00E1161F"/>
    <w:rsid w:val="00E11649"/>
    <w:rsid w:val="00E11665"/>
    <w:rsid w:val="00E11E12"/>
    <w:rsid w:val="00E1214B"/>
    <w:rsid w:val="00E12704"/>
    <w:rsid w:val="00E12801"/>
    <w:rsid w:val="00E12FB1"/>
    <w:rsid w:val="00E12FEA"/>
    <w:rsid w:val="00E13E85"/>
    <w:rsid w:val="00E1431A"/>
    <w:rsid w:val="00E144C1"/>
    <w:rsid w:val="00E148AF"/>
    <w:rsid w:val="00E14C50"/>
    <w:rsid w:val="00E14CAB"/>
    <w:rsid w:val="00E14CD0"/>
    <w:rsid w:val="00E14F64"/>
    <w:rsid w:val="00E15A68"/>
    <w:rsid w:val="00E15B40"/>
    <w:rsid w:val="00E15F76"/>
    <w:rsid w:val="00E160CB"/>
    <w:rsid w:val="00E160E5"/>
    <w:rsid w:val="00E1615E"/>
    <w:rsid w:val="00E164A5"/>
    <w:rsid w:val="00E16699"/>
    <w:rsid w:val="00E16704"/>
    <w:rsid w:val="00E1679E"/>
    <w:rsid w:val="00E1682F"/>
    <w:rsid w:val="00E168FB"/>
    <w:rsid w:val="00E168FF"/>
    <w:rsid w:val="00E16970"/>
    <w:rsid w:val="00E16BE4"/>
    <w:rsid w:val="00E17249"/>
    <w:rsid w:val="00E1732D"/>
    <w:rsid w:val="00E17793"/>
    <w:rsid w:val="00E177D7"/>
    <w:rsid w:val="00E1793D"/>
    <w:rsid w:val="00E17DD2"/>
    <w:rsid w:val="00E17EFA"/>
    <w:rsid w:val="00E17F2A"/>
    <w:rsid w:val="00E17F77"/>
    <w:rsid w:val="00E20332"/>
    <w:rsid w:val="00E204E6"/>
    <w:rsid w:val="00E205EE"/>
    <w:rsid w:val="00E20762"/>
    <w:rsid w:val="00E209A0"/>
    <w:rsid w:val="00E209AB"/>
    <w:rsid w:val="00E20AA3"/>
    <w:rsid w:val="00E214C3"/>
    <w:rsid w:val="00E21A96"/>
    <w:rsid w:val="00E21C1F"/>
    <w:rsid w:val="00E21D37"/>
    <w:rsid w:val="00E21F6E"/>
    <w:rsid w:val="00E2233A"/>
    <w:rsid w:val="00E226E5"/>
    <w:rsid w:val="00E2308B"/>
    <w:rsid w:val="00E230B9"/>
    <w:rsid w:val="00E231A5"/>
    <w:rsid w:val="00E23224"/>
    <w:rsid w:val="00E232CE"/>
    <w:rsid w:val="00E23689"/>
    <w:rsid w:val="00E236A2"/>
    <w:rsid w:val="00E23CAC"/>
    <w:rsid w:val="00E240E7"/>
    <w:rsid w:val="00E242DC"/>
    <w:rsid w:val="00E2451E"/>
    <w:rsid w:val="00E24554"/>
    <w:rsid w:val="00E24A98"/>
    <w:rsid w:val="00E24C0C"/>
    <w:rsid w:val="00E24F34"/>
    <w:rsid w:val="00E2544D"/>
    <w:rsid w:val="00E25506"/>
    <w:rsid w:val="00E255D6"/>
    <w:rsid w:val="00E25E0A"/>
    <w:rsid w:val="00E261AA"/>
    <w:rsid w:val="00E264F0"/>
    <w:rsid w:val="00E268A8"/>
    <w:rsid w:val="00E26A5B"/>
    <w:rsid w:val="00E26A8C"/>
    <w:rsid w:val="00E26F56"/>
    <w:rsid w:val="00E271B9"/>
    <w:rsid w:val="00E272EB"/>
    <w:rsid w:val="00E27ACC"/>
    <w:rsid w:val="00E27C53"/>
    <w:rsid w:val="00E27DB3"/>
    <w:rsid w:val="00E27F1D"/>
    <w:rsid w:val="00E3004A"/>
    <w:rsid w:val="00E302B1"/>
    <w:rsid w:val="00E30326"/>
    <w:rsid w:val="00E30569"/>
    <w:rsid w:val="00E30C0A"/>
    <w:rsid w:val="00E30C47"/>
    <w:rsid w:val="00E30F7B"/>
    <w:rsid w:val="00E3132A"/>
    <w:rsid w:val="00E314F0"/>
    <w:rsid w:val="00E315C2"/>
    <w:rsid w:val="00E31CCF"/>
    <w:rsid w:val="00E31EF1"/>
    <w:rsid w:val="00E31F63"/>
    <w:rsid w:val="00E32223"/>
    <w:rsid w:val="00E326BA"/>
    <w:rsid w:val="00E327B5"/>
    <w:rsid w:val="00E33034"/>
    <w:rsid w:val="00E330F3"/>
    <w:rsid w:val="00E3349C"/>
    <w:rsid w:val="00E339F2"/>
    <w:rsid w:val="00E33A5B"/>
    <w:rsid w:val="00E33CC0"/>
    <w:rsid w:val="00E33D89"/>
    <w:rsid w:val="00E33DA4"/>
    <w:rsid w:val="00E340DF"/>
    <w:rsid w:val="00E34856"/>
    <w:rsid w:val="00E3487E"/>
    <w:rsid w:val="00E35053"/>
    <w:rsid w:val="00E35764"/>
    <w:rsid w:val="00E35C59"/>
    <w:rsid w:val="00E35D31"/>
    <w:rsid w:val="00E35D39"/>
    <w:rsid w:val="00E35DC9"/>
    <w:rsid w:val="00E35F03"/>
    <w:rsid w:val="00E36175"/>
    <w:rsid w:val="00E361F0"/>
    <w:rsid w:val="00E36486"/>
    <w:rsid w:val="00E36A74"/>
    <w:rsid w:val="00E370D6"/>
    <w:rsid w:val="00E37137"/>
    <w:rsid w:val="00E37212"/>
    <w:rsid w:val="00E37355"/>
    <w:rsid w:val="00E375B1"/>
    <w:rsid w:val="00E37731"/>
    <w:rsid w:val="00E37EBA"/>
    <w:rsid w:val="00E403BC"/>
    <w:rsid w:val="00E404A0"/>
    <w:rsid w:val="00E41400"/>
    <w:rsid w:val="00E41AAF"/>
    <w:rsid w:val="00E42713"/>
    <w:rsid w:val="00E4278A"/>
    <w:rsid w:val="00E42830"/>
    <w:rsid w:val="00E43459"/>
    <w:rsid w:val="00E4345D"/>
    <w:rsid w:val="00E43990"/>
    <w:rsid w:val="00E43B15"/>
    <w:rsid w:val="00E43D39"/>
    <w:rsid w:val="00E43D49"/>
    <w:rsid w:val="00E43E63"/>
    <w:rsid w:val="00E43EF2"/>
    <w:rsid w:val="00E441D2"/>
    <w:rsid w:val="00E4426E"/>
    <w:rsid w:val="00E443AF"/>
    <w:rsid w:val="00E44870"/>
    <w:rsid w:val="00E44A0F"/>
    <w:rsid w:val="00E44A29"/>
    <w:rsid w:val="00E44D1F"/>
    <w:rsid w:val="00E45644"/>
    <w:rsid w:val="00E45694"/>
    <w:rsid w:val="00E45927"/>
    <w:rsid w:val="00E45BFA"/>
    <w:rsid w:val="00E45C81"/>
    <w:rsid w:val="00E45E0B"/>
    <w:rsid w:val="00E460B7"/>
    <w:rsid w:val="00E46593"/>
    <w:rsid w:val="00E46613"/>
    <w:rsid w:val="00E468BF"/>
    <w:rsid w:val="00E469B2"/>
    <w:rsid w:val="00E47B5D"/>
    <w:rsid w:val="00E47E8D"/>
    <w:rsid w:val="00E505BD"/>
    <w:rsid w:val="00E50877"/>
    <w:rsid w:val="00E50A61"/>
    <w:rsid w:val="00E50B1A"/>
    <w:rsid w:val="00E50B81"/>
    <w:rsid w:val="00E50EB9"/>
    <w:rsid w:val="00E5158A"/>
    <w:rsid w:val="00E5175B"/>
    <w:rsid w:val="00E51CB3"/>
    <w:rsid w:val="00E5202C"/>
    <w:rsid w:val="00E5207B"/>
    <w:rsid w:val="00E52366"/>
    <w:rsid w:val="00E5236F"/>
    <w:rsid w:val="00E5237F"/>
    <w:rsid w:val="00E525AE"/>
    <w:rsid w:val="00E525BB"/>
    <w:rsid w:val="00E52944"/>
    <w:rsid w:val="00E52A2A"/>
    <w:rsid w:val="00E52AAA"/>
    <w:rsid w:val="00E52C02"/>
    <w:rsid w:val="00E52FAE"/>
    <w:rsid w:val="00E533AE"/>
    <w:rsid w:val="00E534C6"/>
    <w:rsid w:val="00E5399F"/>
    <w:rsid w:val="00E539E5"/>
    <w:rsid w:val="00E53CCC"/>
    <w:rsid w:val="00E53D02"/>
    <w:rsid w:val="00E5400A"/>
    <w:rsid w:val="00E54274"/>
    <w:rsid w:val="00E54807"/>
    <w:rsid w:val="00E54A74"/>
    <w:rsid w:val="00E54CE3"/>
    <w:rsid w:val="00E54FDF"/>
    <w:rsid w:val="00E5521F"/>
    <w:rsid w:val="00E55304"/>
    <w:rsid w:val="00E55335"/>
    <w:rsid w:val="00E554DB"/>
    <w:rsid w:val="00E555A4"/>
    <w:rsid w:val="00E55B8A"/>
    <w:rsid w:val="00E55BD4"/>
    <w:rsid w:val="00E55DCF"/>
    <w:rsid w:val="00E5625F"/>
    <w:rsid w:val="00E5639F"/>
    <w:rsid w:val="00E5711E"/>
    <w:rsid w:val="00E577E3"/>
    <w:rsid w:val="00E57956"/>
    <w:rsid w:val="00E57A16"/>
    <w:rsid w:val="00E57B0B"/>
    <w:rsid w:val="00E6012D"/>
    <w:rsid w:val="00E60459"/>
    <w:rsid w:val="00E6051A"/>
    <w:rsid w:val="00E607EF"/>
    <w:rsid w:val="00E60928"/>
    <w:rsid w:val="00E6102A"/>
    <w:rsid w:val="00E61079"/>
    <w:rsid w:val="00E610D2"/>
    <w:rsid w:val="00E611F0"/>
    <w:rsid w:val="00E61254"/>
    <w:rsid w:val="00E615E0"/>
    <w:rsid w:val="00E618E8"/>
    <w:rsid w:val="00E61AFD"/>
    <w:rsid w:val="00E61E49"/>
    <w:rsid w:val="00E623E8"/>
    <w:rsid w:val="00E6242A"/>
    <w:rsid w:val="00E6252A"/>
    <w:rsid w:val="00E62726"/>
    <w:rsid w:val="00E6276E"/>
    <w:rsid w:val="00E62892"/>
    <w:rsid w:val="00E629D0"/>
    <w:rsid w:val="00E629D4"/>
    <w:rsid w:val="00E62AD4"/>
    <w:rsid w:val="00E62AF3"/>
    <w:rsid w:val="00E62B8B"/>
    <w:rsid w:val="00E62BF0"/>
    <w:rsid w:val="00E631DD"/>
    <w:rsid w:val="00E6342F"/>
    <w:rsid w:val="00E636D8"/>
    <w:rsid w:val="00E636FE"/>
    <w:rsid w:val="00E63AD5"/>
    <w:rsid w:val="00E641C9"/>
    <w:rsid w:val="00E6431E"/>
    <w:rsid w:val="00E643F4"/>
    <w:rsid w:val="00E64AB4"/>
    <w:rsid w:val="00E65256"/>
    <w:rsid w:val="00E653B4"/>
    <w:rsid w:val="00E65605"/>
    <w:rsid w:val="00E657A6"/>
    <w:rsid w:val="00E65A46"/>
    <w:rsid w:val="00E65AC0"/>
    <w:rsid w:val="00E65B42"/>
    <w:rsid w:val="00E65E75"/>
    <w:rsid w:val="00E66252"/>
    <w:rsid w:val="00E664AA"/>
    <w:rsid w:val="00E66939"/>
    <w:rsid w:val="00E66AFB"/>
    <w:rsid w:val="00E66C15"/>
    <w:rsid w:val="00E66E31"/>
    <w:rsid w:val="00E67115"/>
    <w:rsid w:val="00E676E2"/>
    <w:rsid w:val="00E679CB"/>
    <w:rsid w:val="00E70111"/>
    <w:rsid w:val="00E70170"/>
    <w:rsid w:val="00E70227"/>
    <w:rsid w:val="00E70267"/>
    <w:rsid w:val="00E706F1"/>
    <w:rsid w:val="00E708F2"/>
    <w:rsid w:val="00E71316"/>
    <w:rsid w:val="00E7150E"/>
    <w:rsid w:val="00E717D0"/>
    <w:rsid w:val="00E71B79"/>
    <w:rsid w:val="00E71D0A"/>
    <w:rsid w:val="00E71D7C"/>
    <w:rsid w:val="00E71E49"/>
    <w:rsid w:val="00E72223"/>
    <w:rsid w:val="00E724E8"/>
    <w:rsid w:val="00E7255F"/>
    <w:rsid w:val="00E7293A"/>
    <w:rsid w:val="00E72AA6"/>
    <w:rsid w:val="00E72EE6"/>
    <w:rsid w:val="00E73182"/>
    <w:rsid w:val="00E7378B"/>
    <w:rsid w:val="00E73E53"/>
    <w:rsid w:val="00E73E72"/>
    <w:rsid w:val="00E73E79"/>
    <w:rsid w:val="00E73FB7"/>
    <w:rsid w:val="00E73FBD"/>
    <w:rsid w:val="00E7401E"/>
    <w:rsid w:val="00E7407E"/>
    <w:rsid w:val="00E7457B"/>
    <w:rsid w:val="00E74606"/>
    <w:rsid w:val="00E746F6"/>
    <w:rsid w:val="00E748E8"/>
    <w:rsid w:val="00E74D45"/>
    <w:rsid w:val="00E74DDC"/>
    <w:rsid w:val="00E75102"/>
    <w:rsid w:val="00E7513E"/>
    <w:rsid w:val="00E75BD7"/>
    <w:rsid w:val="00E75DDD"/>
    <w:rsid w:val="00E75E91"/>
    <w:rsid w:val="00E75FBE"/>
    <w:rsid w:val="00E75FE6"/>
    <w:rsid w:val="00E760CE"/>
    <w:rsid w:val="00E76AE4"/>
    <w:rsid w:val="00E76EE2"/>
    <w:rsid w:val="00E76F93"/>
    <w:rsid w:val="00E77407"/>
    <w:rsid w:val="00E7769C"/>
    <w:rsid w:val="00E77825"/>
    <w:rsid w:val="00E7784B"/>
    <w:rsid w:val="00E77A17"/>
    <w:rsid w:val="00E77BE7"/>
    <w:rsid w:val="00E802E0"/>
    <w:rsid w:val="00E8036B"/>
    <w:rsid w:val="00E80AF1"/>
    <w:rsid w:val="00E80DEB"/>
    <w:rsid w:val="00E8121E"/>
    <w:rsid w:val="00E815BC"/>
    <w:rsid w:val="00E81614"/>
    <w:rsid w:val="00E81FAE"/>
    <w:rsid w:val="00E81FE1"/>
    <w:rsid w:val="00E8218D"/>
    <w:rsid w:val="00E821CE"/>
    <w:rsid w:val="00E824D7"/>
    <w:rsid w:val="00E8273B"/>
    <w:rsid w:val="00E827C4"/>
    <w:rsid w:val="00E830D3"/>
    <w:rsid w:val="00E83198"/>
    <w:rsid w:val="00E8344E"/>
    <w:rsid w:val="00E8371E"/>
    <w:rsid w:val="00E83CF9"/>
    <w:rsid w:val="00E83D26"/>
    <w:rsid w:val="00E83E88"/>
    <w:rsid w:val="00E849B1"/>
    <w:rsid w:val="00E84B9A"/>
    <w:rsid w:val="00E84D3C"/>
    <w:rsid w:val="00E84F9D"/>
    <w:rsid w:val="00E85163"/>
    <w:rsid w:val="00E85171"/>
    <w:rsid w:val="00E85210"/>
    <w:rsid w:val="00E85512"/>
    <w:rsid w:val="00E857F7"/>
    <w:rsid w:val="00E85F12"/>
    <w:rsid w:val="00E86060"/>
    <w:rsid w:val="00E865AF"/>
    <w:rsid w:val="00E86C9E"/>
    <w:rsid w:val="00E87173"/>
    <w:rsid w:val="00E8744C"/>
    <w:rsid w:val="00E87592"/>
    <w:rsid w:val="00E8795D"/>
    <w:rsid w:val="00E87BEC"/>
    <w:rsid w:val="00E87CEC"/>
    <w:rsid w:val="00E87FF9"/>
    <w:rsid w:val="00E903BA"/>
    <w:rsid w:val="00E9078E"/>
    <w:rsid w:val="00E90BFF"/>
    <w:rsid w:val="00E90DC5"/>
    <w:rsid w:val="00E90E43"/>
    <w:rsid w:val="00E911C1"/>
    <w:rsid w:val="00E914DE"/>
    <w:rsid w:val="00E9152A"/>
    <w:rsid w:val="00E915CD"/>
    <w:rsid w:val="00E91C15"/>
    <w:rsid w:val="00E92085"/>
    <w:rsid w:val="00E923A2"/>
    <w:rsid w:val="00E925AA"/>
    <w:rsid w:val="00E92648"/>
    <w:rsid w:val="00E9273C"/>
    <w:rsid w:val="00E92975"/>
    <w:rsid w:val="00E92985"/>
    <w:rsid w:val="00E9299D"/>
    <w:rsid w:val="00E929F7"/>
    <w:rsid w:val="00E92AF0"/>
    <w:rsid w:val="00E92FEE"/>
    <w:rsid w:val="00E931D1"/>
    <w:rsid w:val="00E93367"/>
    <w:rsid w:val="00E9353F"/>
    <w:rsid w:val="00E93629"/>
    <w:rsid w:val="00E93969"/>
    <w:rsid w:val="00E93A64"/>
    <w:rsid w:val="00E93AE0"/>
    <w:rsid w:val="00E93C32"/>
    <w:rsid w:val="00E9415F"/>
    <w:rsid w:val="00E941FA"/>
    <w:rsid w:val="00E94387"/>
    <w:rsid w:val="00E94639"/>
    <w:rsid w:val="00E946B0"/>
    <w:rsid w:val="00E9485F"/>
    <w:rsid w:val="00E94A7D"/>
    <w:rsid w:val="00E94F44"/>
    <w:rsid w:val="00E9511F"/>
    <w:rsid w:val="00E9526E"/>
    <w:rsid w:val="00E953D0"/>
    <w:rsid w:val="00E95C25"/>
    <w:rsid w:val="00E96005"/>
    <w:rsid w:val="00E96337"/>
    <w:rsid w:val="00E9658E"/>
    <w:rsid w:val="00E965AF"/>
    <w:rsid w:val="00E965F1"/>
    <w:rsid w:val="00E966EA"/>
    <w:rsid w:val="00E968D3"/>
    <w:rsid w:val="00E96AE6"/>
    <w:rsid w:val="00E975CE"/>
    <w:rsid w:val="00E97D40"/>
    <w:rsid w:val="00EA04E9"/>
    <w:rsid w:val="00EA0B35"/>
    <w:rsid w:val="00EA0B7F"/>
    <w:rsid w:val="00EA0E47"/>
    <w:rsid w:val="00EA0E60"/>
    <w:rsid w:val="00EA1142"/>
    <w:rsid w:val="00EA11F7"/>
    <w:rsid w:val="00EA1249"/>
    <w:rsid w:val="00EA12DE"/>
    <w:rsid w:val="00EA1680"/>
    <w:rsid w:val="00EA18C5"/>
    <w:rsid w:val="00EA1985"/>
    <w:rsid w:val="00EA1A78"/>
    <w:rsid w:val="00EA22D9"/>
    <w:rsid w:val="00EA2479"/>
    <w:rsid w:val="00EA258F"/>
    <w:rsid w:val="00EA2625"/>
    <w:rsid w:val="00EA2B61"/>
    <w:rsid w:val="00EA2C60"/>
    <w:rsid w:val="00EA2D2C"/>
    <w:rsid w:val="00EA2DEE"/>
    <w:rsid w:val="00EA30A7"/>
    <w:rsid w:val="00EA3829"/>
    <w:rsid w:val="00EA3841"/>
    <w:rsid w:val="00EA38D6"/>
    <w:rsid w:val="00EA39A6"/>
    <w:rsid w:val="00EA3AAA"/>
    <w:rsid w:val="00EA3D43"/>
    <w:rsid w:val="00EA4B5A"/>
    <w:rsid w:val="00EA4E95"/>
    <w:rsid w:val="00EA4FA8"/>
    <w:rsid w:val="00EA501F"/>
    <w:rsid w:val="00EA5049"/>
    <w:rsid w:val="00EA50B2"/>
    <w:rsid w:val="00EA5214"/>
    <w:rsid w:val="00EA5446"/>
    <w:rsid w:val="00EA59DD"/>
    <w:rsid w:val="00EA5D74"/>
    <w:rsid w:val="00EA609B"/>
    <w:rsid w:val="00EA609C"/>
    <w:rsid w:val="00EA65C2"/>
    <w:rsid w:val="00EA675D"/>
    <w:rsid w:val="00EA69BE"/>
    <w:rsid w:val="00EA6E99"/>
    <w:rsid w:val="00EA6F1C"/>
    <w:rsid w:val="00EA7145"/>
    <w:rsid w:val="00EA7344"/>
    <w:rsid w:val="00EA7379"/>
    <w:rsid w:val="00EA73D5"/>
    <w:rsid w:val="00EA7B0D"/>
    <w:rsid w:val="00EA7DC0"/>
    <w:rsid w:val="00EA7E91"/>
    <w:rsid w:val="00EB02BD"/>
    <w:rsid w:val="00EB0413"/>
    <w:rsid w:val="00EB0435"/>
    <w:rsid w:val="00EB0475"/>
    <w:rsid w:val="00EB0A94"/>
    <w:rsid w:val="00EB0C2F"/>
    <w:rsid w:val="00EB0DA0"/>
    <w:rsid w:val="00EB1261"/>
    <w:rsid w:val="00EB1356"/>
    <w:rsid w:val="00EB1510"/>
    <w:rsid w:val="00EB164A"/>
    <w:rsid w:val="00EB1822"/>
    <w:rsid w:val="00EB1CF7"/>
    <w:rsid w:val="00EB26E9"/>
    <w:rsid w:val="00EB2F2D"/>
    <w:rsid w:val="00EB3177"/>
    <w:rsid w:val="00EB31FC"/>
    <w:rsid w:val="00EB32AD"/>
    <w:rsid w:val="00EB345F"/>
    <w:rsid w:val="00EB3BB6"/>
    <w:rsid w:val="00EB3F6D"/>
    <w:rsid w:val="00EB3FFF"/>
    <w:rsid w:val="00EB4183"/>
    <w:rsid w:val="00EB4227"/>
    <w:rsid w:val="00EB4583"/>
    <w:rsid w:val="00EB46FE"/>
    <w:rsid w:val="00EB4887"/>
    <w:rsid w:val="00EB5813"/>
    <w:rsid w:val="00EB5D6A"/>
    <w:rsid w:val="00EB61A6"/>
    <w:rsid w:val="00EB622D"/>
    <w:rsid w:val="00EB631A"/>
    <w:rsid w:val="00EB649B"/>
    <w:rsid w:val="00EB6525"/>
    <w:rsid w:val="00EB6E06"/>
    <w:rsid w:val="00EB6E7B"/>
    <w:rsid w:val="00EB6F2A"/>
    <w:rsid w:val="00EB7123"/>
    <w:rsid w:val="00EB7156"/>
    <w:rsid w:val="00EB71A0"/>
    <w:rsid w:val="00EB720D"/>
    <w:rsid w:val="00EB7551"/>
    <w:rsid w:val="00EB780F"/>
    <w:rsid w:val="00EB7CCB"/>
    <w:rsid w:val="00EC08BF"/>
    <w:rsid w:val="00EC0FBF"/>
    <w:rsid w:val="00EC149C"/>
    <w:rsid w:val="00EC149F"/>
    <w:rsid w:val="00EC17B4"/>
    <w:rsid w:val="00EC17B6"/>
    <w:rsid w:val="00EC1945"/>
    <w:rsid w:val="00EC1A3D"/>
    <w:rsid w:val="00EC2984"/>
    <w:rsid w:val="00EC298F"/>
    <w:rsid w:val="00EC29FF"/>
    <w:rsid w:val="00EC2AAE"/>
    <w:rsid w:val="00EC2C24"/>
    <w:rsid w:val="00EC2C59"/>
    <w:rsid w:val="00EC2D0F"/>
    <w:rsid w:val="00EC2DE1"/>
    <w:rsid w:val="00EC2E3F"/>
    <w:rsid w:val="00EC2E8D"/>
    <w:rsid w:val="00EC34BA"/>
    <w:rsid w:val="00EC351C"/>
    <w:rsid w:val="00EC35F2"/>
    <w:rsid w:val="00EC37D5"/>
    <w:rsid w:val="00EC3E85"/>
    <w:rsid w:val="00EC3EF0"/>
    <w:rsid w:val="00EC3F2C"/>
    <w:rsid w:val="00EC4310"/>
    <w:rsid w:val="00EC4F1B"/>
    <w:rsid w:val="00EC51A3"/>
    <w:rsid w:val="00EC545F"/>
    <w:rsid w:val="00EC5525"/>
    <w:rsid w:val="00EC5553"/>
    <w:rsid w:val="00EC5A64"/>
    <w:rsid w:val="00EC5B0E"/>
    <w:rsid w:val="00EC5C29"/>
    <w:rsid w:val="00EC5D9D"/>
    <w:rsid w:val="00EC6157"/>
    <w:rsid w:val="00EC6CCB"/>
    <w:rsid w:val="00EC6EC4"/>
    <w:rsid w:val="00EC6F07"/>
    <w:rsid w:val="00EC737E"/>
    <w:rsid w:val="00EC784E"/>
    <w:rsid w:val="00EC7EDC"/>
    <w:rsid w:val="00ED085B"/>
    <w:rsid w:val="00ED09BB"/>
    <w:rsid w:val="00ED0BB4"/>
    <w:rsid w:val="00ED0C97"/>
    <w:rsid w:val="00ED0D9C"/>
    <w:rsid w:val="00ED0DFC"/>
    <w:rsid w:val="00ED10FA"/>
    <w:rsid w:val="00ED14A6"/>
    <w:rsid w:val="00ED16A7"/>
    <w:rsid w:val="00ED18FE"/>
    <w:rsid w:val="00ED196D"/>
    <w:rsid w:val="00ED1AF0"/>
    <w:rsid w:val="00ED1DD8"/>
    <w:rsid w:val="00ED1EE9"/>
    <w:rsid w:val="00ED21A3"/>
    <w:rsid w:val="00ED23F9"/>
    <w:rsid w:val="00ED272C"/>
    <w:rsid w:val="00ED28BD"/>
    <w:rsid w:val="00ED2970"/>
    <w:rsid w:val="00ED2EFA"/>
    <w:rsid w:val="00ED32D9"/>
    <w:rsid w:val="00ED361B"/>
    <w:rsid w:val="00ED36BE"/>
    <w:rsid w:val="00ED3B10"/>
    <w:rsid w:val="00ED3B5B"/>
    <w:rsid w:val="00ED3B5D"/>
    <w:rsid w:val="00ED3BC0"/>
    <w:rsid w:val="00ED3FB3"/>
    <w:rsid w:val="00ED427A"/>
    <w:rsid w:val="00ED4320"/>
    <w:rsid w:val="00ED489E"/>
    <w:rsid w:val="00ED4C34"/>
    <w:rsid w:val="00ED4E47"/>
    <w:rsid w:val="00ED4E74"/>
    <w:rsid w:val="00ED5011"/>
    <w:rsid w:val="00ED578A"/>
    <w:rsid w:val="00ED5B65"/>
    <w:rsid w:val="00ED6110"/>
    <w:rsid w:val="00ED636B"/>
    <w:rsid w:val="00ED645F"/>
    <w:rsid w:val="00ED6781"/>
    <w:rsid w:val="00ED6AB6"/>
    <w:rsid w:val="00ED6AD6"/>
    <w:rsid w:val="00ED6CAF"/>
    <w:rsid w:val="00ED6D17"/>
    <w:rsid w:val="00ED7205"/>
    <w:rsid w:val="00ED780D"/>
    <w:rsid w:val="00ED7D57"/>
    <w:rsid w:val="00ED7E26"/>
    <w:rsid w:val="00EE0096"/>
    <w:rsid w:val="00EE06DF"/>
    <w:rsid w:val="00EE0789"/>
    <w:rsid w:val="00EE0863"/>
    <w:rsid w:val="00EE0901"/>
    <w:rsid w:val="00EE0CD2"/>
    <w:rsid w:val="00EE14C3"/>
    <w:rsid w:val="00EE199E"/>
    <w:rsid w:val="00EE1BA4"/>
    <w:rsid w:val="00EE257B"/>
    <w:rsid w:val="00EE259D"/>
    <w:rsid w:val="00EE2A7D"/>
    <w:rsid w:val="00EE34FD"/>
    <w:rsid w:val="00EE35F1"/>
    <w:rsid w:val="00EE3DC8"/>
    <w:rsid w:val="00EE3E31"/>
    <w:rsid w:val="00EE4777"/>
    <w:rsid w:val="00EE477E"/>
    <w:rsid w:val="00EE4CAA"/>
    <w:rsid w:val="00EE4F43"/>
    <w:rsid w:val="00EE4FB2"/>
    <w:rsid w:val="00EE52F1"/>
    <w:rsid w:val="00EE5379"/>
    <w:rsid w:val="00EE6042"/>
    <w:rsid w:val="00EE60D5"/>
    <w:rsid w:val="00EE6715"/>
    <w:rsid w:val="00EE6777"/>
    <w:rsid w:val="00EE6E44"/>
    <w:rsid w:val="00EE709B"/>
    <w:rsid w:val="00EE740E"/>
    <w:rsid w:val="00EE79EE"/>
    <w:rsid w:val="00EE7A45"/>
    <w:rsid w:val="00EF0286"/>
    <w:rsid w:val="00EF067D"/>
    <w:rsid w:val="00EF07FA"/>
    <w:rsid w:val="00EF08A6"/>
    <w:rsid w:val="00EF0A59"/>
    <w:rsid w:val="00EF0CA9"/>
    <w:rsid w:val="00EF0FFF"/>
    <w:rsid w:val="00EF156A"/>
    <w:rsid w:val="00EF1959"/>
    <w:rsid w:val="00EF1976"/>
    <w:rsid w:val="00EF1CA8"/>
    <w:rsid w:val="00EF1F58"/>
    <w:rsid w:val="00EF272D"/>
    <w:rsid w:val="00EF2822"/>
    <w:rsid w:val="00EF29A1"/>
    <w:rsid w:val="00EF2A02"/>
    <w:rsid w:val="00EF2D7F"/>
    <w:rsid w:val="00EF2DA0"/>
    <w:rsid w:val="00EF2E43"/>
    <w:rsid w:val="00EF2F72"/>
    <w:rsid w:val="00EF302F"/>
    <w:rsid w:val="00EF32E2"/>
    <w:rsid w:val="00EF34CC"/>
    <w:rsid w:val="00EF37DB"/>
    <w:rsid w:val="00EF3830"/>
    <w:rsid w:val="00EF3AAB"/>
    <w:rsid w:val="00EF3E98"/>
    <w:rsid w:val="00EF3FD6"/>
    <w:rsid w:val="00EF4098"/>
    <w:rsid w:val="00EF452A"/>
    <w:rsid w:val="00EF4531"/>
    <w:rsid w:val="00EF4575"/>
    <w:rsid w:val="00EF45FF"/>
    <w:rsid w:val="00EF4C16"/>
    <w:rsid w:val="00EF4E56"/>
    <w:rsid w:val="00EF4FD4"/>
    <w:rsid w:val="00EF50A1"/>
    <w:rsid w:val="00EF519C"/>
    <w:rsid w:val="00EF5666"/>
    <w:rsid w:val="00EF5892"/>
    <w:rsid w:val="00EF5D8E"/>
    <w:rsid w:val="00EF5F7B"/>
    <w:rsid w:val="00EF645F"/>
    <w:rsid w:val="00EF67E5"/>
    <w:rsid w:val="00EF6842"/>
    <w:rsid w:val="00EF6B44"/>
    <w:rsid w:val="00EF6CCE"/>
    <w:rsid w:val="00EF6CE7"/>
    <w:rsid w:val="00EF6EBA"/>
    <w:rsid w:val="00EF72CB"/>
    <w:rsid w:val="00EF7892"/>
    <w:rsid w:val="00EF7A22"/>
    <w:rsid w:val="00EF7ACD"/>
    <w:rsid w:val="00F0001F"/>
    <w:rsid w:val="00F00277"/>
    <w:rsid w:val="00F0056D"/>
    <w:rsid w:val="00F00659"/>
    <w:rsid w:val="00F0076E"/>
    <w:rsid w:val="00F0080D"/>
    <w:rsid w:val="00F00A49"/>
    <w:rsid w:val="00F00F22"/>
    <w:rsid w:val="00F0108A"/>
    <w:rsid w:val="00F01264"/>
    <w:rsid w:val="00F014DE"/>
    <w:rsid w:val="00F01556"/>
    <w:rsid w:val="00F0174C"/>
    <w:rsid w:val="00F017E5"/>
    <w:rsid w:val="00F01FAA"/>
    <w:rsid w:val="00F02CCF"/>
    <w:rsid w:val="00F03900"/>
    <w:rsid w:val="00F03D28"/>
    <w:rsid w:val="00F03D5E"/>
    <w:rsid w:val="00F041FA"/>
    <w:rsid w:val="00F04626"/>
    <w:rsid w:val="00F0472D"/>
    <w:rsid w:val="00F04D07"/>
    <w:rsid w:val="00F05DBC"/>
    <w:rsid w:val="00F06359"/>
    <w:rsid w:val="00F06365"/>
    <w:rsid w:val="00F06508"/>
    <w:rsid w:val="00F06AB5"/>
    <w:rsid w:val="00F06B61"/>
    <w:rsid w:val="00F06E66"/>
    <w:rsid w:val="00F070A6"/>
    <w:rsid w:val="00F07264"/>
    <w:rsid w:val="00F0727F"/>
    <w:rsid w:val="00F0733C"/>
    <w:rsid w:val="00F07714"/>
    <w:rsid w:val="00F078F9"/>
    <w:rsid w:val="00F07D77"/>
    <w:rsid w:val="00F07EAB"/>
    <w:rsid w:val="00F07FAC"/>
    <w:rsid w:val="00F07FD7"/>
    <w:rsid w:val="00F10A2F"/>
    <w:rsid w:val="00F10B4F"/>
    <w:rsid w:val="00F10E72"/>
    <w:rsid w:val="00F10EA3"/>
    <w:rsid w:val="00F11451"/>
    <w:rsid w:val="00F11927"/>
    <w:rsid w:val="00F11A97"/>
    <w:rsid w:val="00F11C0A"/>
    <w:rsid w:val="00F12697"/>
    <w:rsid w:val="00F128B7"/>
    <w:rsid w:val="00F12D44"/>
    <w:rsid w:val="00F12DF2"/>
    <w:rsid w:val="00F130C8"/>
    <w:rsid w:val="00F132FF"/>
    <w:rsid w:val="00F13658"/>
    <w:rsid w:val="00F136BA"/>
    <w:rsid w:val="00F138B2"/>
    <w:rsid w:val="00F13C5F"/>
    <w:rsid w:val="00F13F0E"/>
    <w:rsid w:val="00F14007"/>
    <w:rsid w:val="00F1446A"/>
    <w:rsid w:val="00F14A38"/>
    <w:rsid w:val="00F14B33"/>
    <w:rsid w:val="00F15152"/>
    <w:rsid w:val="00F155EB"/>
    <w:rsid w:val="00F1584C"/>
    <w:rsid w:val="00F158CC"/>
    <w:rsid w:val="00F15D0E"/>
    <w:rsid w:val="00F15E55"/>
    <w:rsid w:val="00F15EAF"/>
    <w:rsid w:val="00F16043"/>
    <w:rsid w:val="00F16092"/>
    <w:rsid w:val="00F160E1"/>
    <w:rsid w:val="00F1623B"/>
    <w:rsid w:val="00F16465"/>
    <w:rsid w:val="00F16751"/>
    <w:rsid w:val="00F167F4"/>
    <w:rsid w:val="00F169E3"/>
    <w:rsid w:val="00F16A2F"/>
    <w:rsid w:val="00F16B4B"/>
    <w:rsid w:val="00F16C96"/>
    <w:rsid w:val="00F16D53"/>
    <w:rsid w:val="00F16DA1"/>
    <w:rsid w:val="00F16FBE"/>
    <w:rsid w:val="00F17BA8"/>
    <w:rsid w:val="00F20093"/>
    <w:rsid w:val="00F20225"/>
    <w:rsid w:val="00F205DE"/>
    <w:rsid w:val="00F20859"/>
    <w:rsid w:val="00F21363"/>
    <w:rsid w:val="00F21616"/>
    <w:rsid w:val="00F21644"/>
    <w:rsid w:val="00F218B0"/>
    <w:rsid w:val="00F21CBF"/>
    <w:rsid w:val="00F21CC5"/>
    <w:rsid w:val="00F21D52"/>
    <w:rsid w:val="00F21F0E"/>
    <w:rsid w:val="00F21FA3"/>
    <w:rsid w:val="00F2267E"/>
    <w:rsid w:val="00F22767"/>
    <w:rsid w:val="00F22789"/>
    <w:rsid w:val="00F227CB"/>
    <w:rsid w:val="00F22AA3"/>
    <w:rsid w:val="00F22AEB"/>
    <w:rsid w:val="00F22E0A"/>
    <w:rsid w:val="00F22E2E"/>
    <w:rsid w:val="00F2389A"/>
    <w:rsid w:val="00F23DFC"/>
    <w:rsid w:val="00F24178"/>
    <w:rsid w:val="00F242C8"/>
    <w:rsid w:val="00F24555"/>
    <w:rsid w:val="00F24705"/>
    <w:rsid w:val="00F24777"/>
    <w:rsid w:val="00F2499A"/>
    <w:rsid w:val="00F24B73"/>
    <w:rsid w:val="00F24D53"/>
    <w:rsid w:val="00F2553C"/>
    <w:rsid w:val="00F25631"/>
    <w:rsid w:val="00F257E4"/>
    <w:rsid w:val="00F258CB"/>
    <w:rsid w:val="00F25AD3"/>
    <w:rsid w:val="00F25C10"/>
    <w:rsid w:val="00F25E1D"/>
    <w:rsid w:val="00F26023"/>
    <w:rsid w:val="00F26110"/>
    <w:rsid w:val="00F26155"/>
    <w:rsid w:val="00F2620B"/>
    <w:rsid w:val="00F26308"/>
    <w:rsid w:val="00F26318"/>
    <w:rsid w:val="00F270C2"/>
    <w:rsid w:val="00F272B2"/>
    <w:rsid w:val="00F27423"/>
    <w:rsid w:val="00F27BC1"/>
    <w:rsid w:val="00F27D97"/>
    <w:rsid w:val="00F27DAA"/>
    <w:rsid w:val="00F304FE"/>
    <w:rsid w:val="00F30559"/>
    <w:rsid w:val="00F306FB"/>
    <w:rsid w:val="00F30F96"/>
    <w:rsid w:val="00F3126B"/>
    <w:rsid w:val="00F312C9"/>
    <w:rsid w:val="00F316BA"/>
    <w:rsid w:val="00F3173E"/>
    <w:rsid w:val="00F31854"/>
    <w:rsid w:val="00F31B56"/>
    <w:rsid w:val="00F31F05"/>
    <w:rsid w:val="00F3216D"/>
    <w:rsid w:val="00F322BC"/>
    <w:rsid w:val="00F323BD"/>
    <w:rsid w:val="00F3240E"/>
    <w:rsid w:val="00F327C3"/>
    <w:rsid w:val="00F32AC5"/>
    <w:rsid w:val="00F32DA4"/>
    <w:rsid w:val="00F32E52"/>
    <w:rsid w:val="00F33092"/>
    <w:rsid w:val="00F3327F"/>
    <w:rsid w:val="00F33316"/>
    <w:rsid w:val="00F33453"/>
    <w:rsid w:val="00F336B7"/>
    <w:rsid w:val="00F338FA"/>
    <w:rsid w:val="00F33E0D"/>
    <w:rsid w:val="00F33F84"/>
    <w:rsid w:val="00F34009"/>
    <w:rsid w:val="00F3400D"/>
    <w:rsid w:val="00F34336"/>
    <w:rsid w:val="00F346F7"/>
    <w:rsid w:val="00F34E7A"/>
    <w:rsid w:val="00F351D9"/>
    <w:rsid w:val="00F353F5"/>
    <w:rsid w:val="00F35413"/>
    <w:rsid w:val="00F3558A"/>
    <w:rsid w:val="00F356FB"/>
    <w:rsid w:val="00F35761"/>
    <w:rsid w:val="00F35788"/>
    <w:rsid w:val="00F35AB7"/>
    <w:rsid w:val="00F35DC6"/>
    <w:rsid w:val="00F361EA"/>
    <w:rsid w:val="00F364FD"/>
    <w:rsid w:val="00F365DD"/>
    <w:rsid w:val="00F36634"/>
    <w:rsid w:val="00F369B5"/>
    <w:rsid w:val="00F36AED"/>
    <w:rsid w:val="00F373DF"/>
    <w:rsid w:val="00F37A89"/>
    <w:rsid w:val="00F37E22"/>
    <w:rsid w:val="00F40245"/>
    <w:rsid w:val="00F40641"/>
    <w:rsid w:val="00F407C7"/>
    <w:rsid w:val="00F40C0C"/>
    <w:rsid w:val="00F40DB2"/>
    <w:rsid w:val="00F40E96"/>
    <w:rsid w:val="00F4119A"/>
    <w:rsid w:val="00F4124C"/>
    <w:rsid w:val="00F41369"/>
    <w:rsid w:val="00F4154B"/>
    <w:rsid w:val="00F4188A"/>
    <w:rsid w:val="00F4196A"/>
    <w:rsid w:val="00F41B59"/>
    <w:rsid w:val="00F41E41"/>
    <w:rsid w:val="00F421C9"/>
    <w:rsid w:val="00F42303"/>
    <w:rsid w:val="00F42554"/>
    <w:rsid w:val="00F427FF"/>
    <w:rsid w:val="00F435D2"/>
    <w:rsid w:val="00F4388A"/>
    <w:rsid w:val="00F43AA6"/>
    <w:rsid w:val="00F43C6A"/>
    <w:rsid w:val="00F43F04"/>
    <w:rsid w:val="00F441AA"/>
    <w:rsid w:val="00F4449A"/>
    <w:rsid w:val="00F44600"/>
    <w:rsid w:val="00F44A3F"/>
    <w:rsid w:val="00F44C84"/>
    <w:rsid w:val="00F44DD9"/>
    <w:rsid w:val="00F44EAB"/>
    <w:rsid w:val="00F452B0"/>
    <w:rsid w:val="00F45F17"/>
    <w:rsid w:val="00F46628"/>
    <w:rsid w:val="00F4680A"/>
    <w:rsid w:val="00F46B10"/>
    <w:rsid w:val="00F46CB1"/>
    <w:rsid w:val="00F47122"/>
    <w:rsid w:val="00F47659"/>
    <w:rsid w:val="00F4771D"/>
    <w:rsid w:val="00F477CC"/>
    <w:rsid w:val="00F47A3C"/>
    <w:rsid w:val="00F47DDC"/>
    <w:rsid w:val="00F47E6B"/>
    <w:rsid w:val="00F5006D"/>
    <w:rsid w:val="00F50172"/>
    <w:rsid w:val="00F5021C"/>
    <w:rsid w:val="00F5042A"/>
    <w:rsid w:val="00F50467"/>
    <w:rsid w:val="00F5051F"/>
    <w:rsid w:val="00F514EA"/>
    <w:rsid w:val="00F51CB8"/>
    <w:rsid w:val="00F51DD6"/>
    <w:rsid w:val="00F523D8"/>
    <w:rsid w:val="00F5243E"/>
    <w:rsid w:val="00F527FC"/>
    <w:rsid w:val="00F52D01"/>
    <w:rsid w:val="00F52F4F"/>
    <w:rsid w:val="00F53042"/>
    <w:rsid w:val="00F531E8"/>
    <w:rsid w:val="00F532AD"/>
    <w:rsid w:val="00F53564"/>
    <w:rsid w:val="00F53592"/>
    <w:rsid w:val="00F536DB"/>
    <w:rsid w:val="00F53ADC"/>
    <w:rsid w:val="00F53E87"/>
    <w:rsid w:val="00F545B4"/>
    <w:rsid w:val="00F54BEF"/>
    <w:rsid w:val="00F54CD4"/>
    <w:rsid w:val="00F54D66"/>
    <w:rsid w:val="00F54DA5"/>
    <w:rsid w:val="00F54E0B"/>
    <w:rsid w:val="00F54E55"/>
    <w:rsid w:val="00F551B6"/>
    <w:rsid w:val="00F553A4"/>
    <w:rsid w:val="00F55648"/>
    <w:rsid w:val="00F55738"/>
    <w:rsid w:val="00F5590A"/>
    <w:rsid w:val="00F55A88"/>
    <w:rsid w:val="00F55D76"/>
    <w:rsid w:val="00F55DB0"/>
    <w:rsid w:val="00F5601D"/>
    <w:rsid w:val="00F5605E"/>
    <w:rsid w:val="00F56B9A"/>
    <w:rsid w:val="00F5743F"/>
    <w:rsid w:val="00F57860"/>
    <w:rsid w:val="00F57A19"/>
    <w:rsid w:val="00F57A1B"/>
    <w:rsid w:val="00F57D7F"/>
    <w:rsid w:val="00F601BD"/>
    <w:rsid w:val="00F60514"/>
    <w:rsid w:val="00F60873"/>
    <w:rsid w:val="00F60BA1"/>
    <w:rsid w:val="00F60CBC"/>
    <w:rsid w:val="00F60E80"/>
    <w:rsid w:val="00F60EC0"/>
    <w:rsid w:val="00F60F41"/>
    <w:rsid w:val="00F60F87"/>
    <w:rsid w:val="00F61158"/>
    <w:rsid w:val="00F615AA"/>
    <w:rsid w:val="00F61ADD"/>
    <w:rsid w:val="00F61D7E"/>
    <w:rsid w:val="00F6237F"/>
    <w:rsid w:val="00F623C5"/>
    <w:rsid w:val="00F623ED"/>
    <w:rsid w:val="00F624AF"/>
    <w:rsid w:val="00F62B67"/>
    <w:rsid w:val="00F62CB2"/>
    <w:rsid w:val="00F62D1B"/>
    <w:rsid w:val="00F63403"/>
    <w:rsid w:val="00F6379D"/>
    <w:rsid w:val="00F63ACB"/>
    <w:rsid w:val="00F63B60"/>
    <w:rsid w:val="00F63F29"/>
    <w:rsid w:val="00F64039"/>
    <w:rsid w:val="00F644D9"/>
    <w:rsid w:val="00F6468B"/>
    <w:rsid w:val="00F64720"/>
    <w:rsid w:val="00F64C1C"/>
    <w:rsid w:val="00F650F7"/>
    <w:rsid w:val="00F65684"/>
    <w:rsid w:val="00F65702"/>
    <w:rsid w:val="00F6572E"/>
    <w:rsid w:val="00F65D12"/>
    <w:rsid w:val="00F65E99"/>
    <w:rsid w:val="00F65FE7"/>
    <w:rsid w:val="00F66199"/>
    <w:rsid w:val="00F66C94"/>
    <w:rsid w:val="00F6708F"/>
    <w:rsid w:val="00F67144"/>
    <w:rsid w:val="00F67952"/>
    <w:rsid w:val="00F67C30"/>
    <w:rsid w:val="00F67D75"/>
    <w:rsid w:val="00F67E33"/>
    <w:rsid w:val="00F7011A"/>
    <w:rsid w:val="00F70617"/>
    <w:rsid w:val="00F707E9"/>
    <w:rsid w:val="00F708C1"/>
    <w:rsid w:val="00F70CD2"/>
    <w:rsid w:val="00F70E97"/>
    <w:rsid w:val="00F70FCA"/>
    <w:rsid w:val="00F7114F"/>
    <w:rsid w:val="00F712B1"/>
    <w:rsid w:val="00F712BD"/>
    <w:rsid w:val="00F71436"/>
    <w:rsid w:val="00F71553"/>
    <w:rsid w:val="00F717D1"/>
    <w:rsid w:val="00F71917"/>
    <w:rsid w:val="00F719C8"/>
    <w:rsid w:val="00F71D63"/>
    <w:rsid w:val="00F71F5B"/>
    <w:rsid w:val="00F71FC3"/>
    <w:rsid w:val="00F720EA"/>
    <w:rsid w:val="00F72157"/>
    <w:rsid w:val="00F721B0"/>
    <w:rsid w:val="00F7234E"/>
    <w:rsid w:val="00F72482"/>
    <w:rsid w:val="00F725D8"/>
    <w:rsid w:val="00F7274A"/>
    <w:rsid w:val="00F7288D"/>
    <w:rsid w:val="00F72B04"/>
    <w:rsid w:val="00F72F3F"/>
    <w:rsid w:val="00F73013"/>
    <w:rsid w:val="00F73074"/>
    <w:rsid w:val="00F7355D"/>
    <w:rsid w:val="00F735AB"/>
    <w:rsid w:val="00F7361E"/>
    <w:rsid w:val="00F73E91"/>
    <w:rsid w:val="00F73F87"/>
    <w:rsid w:val="00F73F8D"/>
    <w:rsid w:val="00F73FDB"/>
    <w:rsid w:val="00F74031"/>
    <w:rsid w:val="00F74737"/>
    <w:rsid w:val="00F74980"/>
    <w:rsid w:val="00F74CFE"/>
    <w:rsid w:val="00F74E69"/>
    <w:rsid w:val="00F74E92"/>
    <w:rsid w:val="00F74EEE"/>
    <w:rsid w:val="00F75019"/>
    <w:rsid w:val="00F75279"/>
    <w:rsid w:val="00F7562B"/>
    <w:rsid w:val="00F756B9"/>
    <w:rsid w:val="00F7610F"/>
    <w:rsid w:val="00F76208"/>
    <w:rsid w:val="00F7623E"/>
    <w:rsid w:val="00F766B8"/>
    <w:rsid w:val="00F76BC0"/>
    <w:rsid w:val="00F76D10"/>
    <w:rsid w:val="00F76D21"/>
    <w:rsid w:val="00F77216"/>
    <w:rsid w:val="00F7731A"/>
    <w:rsid w:val="00F77439"/>
    <w:rsid w:val="00F7760C"/>
    <w:rsid w:val="00F77BFA"/>
    <w:rsid w:val="00F80018"/>
    <w:rsid w:val="00F80110"/>
    <w:rsid w:val="00F807A4"/>
    <w:rsid w:val="00F80942"/>
    <w:rsid w:val="00F8096B"/>
    <w:rsid w:val="00F80998"/>
    <w:rsid w:val="00F809C5"/>
    <w:rsid w:val="00F80A4E"/>
    <w:rsid w:val="00F80AD1"/>
    <w:rsid w:val="00F80E28"/>
    <w:rsid w:val="00F8114D"/>
    <w:rsid w:val="00F81297"/>
    <w:rsid w:val="00F81F6D"/>
    <w:rsid w:val="00F82026"/>
    <w:rsid w:val="00F82343"/>
    <w:rsid w:val="00F82677"/>
    <w:rsid w:val="00F82700"/>
    <w:rsid w:val="00F829CF"/>
    <w:rsid w:val="00F82F3F"/>
    <w:rsid w:val="00F8301D"/>
    <w:rsid w:val="00F834AE"/>
    <w:rsid w:val="00F835D1"/>
    <w:rsid w:val="00F835E3"/>
    <w:rsid w:val="00F835F3"/>
    <w:rsid w:val="00F83703"/>
    <w:rsid w:val="00F83CCD"/>
    <w:rsid w:val="00F83DDC"/>
    <w:rsid w:val="00F84647"/>
    <w:rsid w:val="00F84797"/>
    <w:rsid w:val="00F84892"/>
    <w:rsid w:val="00F84906"/>
    <w:rsid w:val="00F84B9B"/>
    <w:rsid w:val="00F84E00"/>
    <w:rsid w:val="00F856E6"/>
    <w:rsid w:val="00F85743"/>
    <w:rsid w:val="00F8576A"/>
    <w:rsid w:val="00F8596B"/>
    <w:rsid w:val="00F85CA2"/>
    <w:rsid w:val="00F85CB8"/>
    <w:rsid w:val="00F85F45"/>
    <w:rsid w:val="00F8659D"/>
    <w:rsid w:val="00F8681E"/>
    <w:rsid w:val="00F86C28"/>
    <w:rsid w:val="00F86DE8"/>
    <w:rsid w:val="00F86F0F"/>
    <w:rsid w:val="00F86F67"/>
    <w:rsid w:val="00F8710E"/>
    <w:rsid w:val="00F87237"/>
    <w:rsid w:val="00F87368"/>
    <w:rsid w:val="00F8768D"/>
    <w:rsid w:val="00F87A7F"/>
    <w:rsid w:val="00F87CCF"/>
    <w:rsid w:val="00F87D67"/>
    <w:rsid w:val="00F87F67"/>
    <w:rsid w:val="00F90070"/>
    <w:rsid w:val="00F9012D"/>
    <w:rsid w:val="00F9023F"/>
    <w:rsid w:val="00F90710"/>
    <w:rsid w:val="00F90B97"/>
    <w:rsid w:val="00F90E12"/>
    <w:rsid w:val="00F90E5D"/>
    <w:rsid w:val="00F90E72"/>
    <w:rsid w:val="00F90F2A"/>
    <w:rsid w:val="00F90F9B"/>
    <w:rsid w:val="00F911C7"/>
    <w:rsid w:val="00F912DE"/>
    <w:rsid w:val="00F919D1"/>
    <w:rsid w:val="00F91DEE"/>
    <w:rsid w:val="00F92231"/>
    <w:rsid w:val="00F92258"/>
    <w:rsid w:val="00F92DBF"/>
    <w:rsid w:val="00F9318E"/>
    <w:rsid w:val="00F93487"/>
    <w:rsid w:val="00F93723"/>
    <w:rsid w:val="00F93781"/>
    <w:rsid w:val="00F93BCE"/>
    <w:rsid w:val="00F94047"/>
    <w:rsid w:val="00F9408F"/>
    <w:rsid w:val="00F940C4"/>
    <w:rsid w:val="00F955FA"/>
    <w:rsid w:val="00F95778"/>
    <w:rsid w:val="00F95ABC"/>
    <w:rsid w:val="00F95C42"/>
    <w:rsid w:val="00F95C69"/>
    <w:rsid w:val="00F95CF0"/>
    <w:rsid w:val="00F95F21"/>
    <w:rsid w:val="00F961A2"/>
    <w:rsid w:val="00F9660D"/>
    <w:rsid w:val="00F96899"/>
    <w:rsid w:val="00F96B06"/>
    <w:rsid w:val="00F96DED"/>
    <w:rsid w:val="00F97147"/>
    <w:rsid w:val="00F9719E"/>
    <w:rsid w:val="00F9795E"/>
    <w:rsid w:val="00F97B09"/>
    <w:rsid w:val="00F97D79"/>
    <w:rsid w:val="00F97E23"/>
    <w:rsid w:val="00FA07F4"/>
    <w:rsid w:val="00FA0827"/>
    <w:rsid w:val="00FA0C9D"/>
    <w:rsid w:val="00FA0CFB"/>
    <w:rsid w:val="00FA10D4"/>
    <w:rsid w:val="00FA129B"/>
    <w:rsid w:val="00FA1669"/>
    <w:rsid w:val="00FA175E"/>
    <w:rsid w:val="00FA1975"/>
    <w:rsid w:val="00FA1998"/>
    <w:rsid w:val="00FA1D6F"/>
    <w:rsid w:val="00FA1E73"/>
    <w:rsid w:val="00FA2170"/>
    <w:rsid w:val="00FA21AA"/>
    <w:rsid w:val="00FA2393"/>
    <w:rsid w:val="00FA244D"/>
    <w:rsid w:val="00FA270E"/>
    <w:rsid w:val="00FA2E67"/>
    <w:rsid w:val="00FA2EDE"/>
    <w:rsid w:val="00FA34DC"/>
    <w:rsid w:val="00FA357C"/>
    <w:rsid w:val="00FA364A"/>
    <w:rsid w:val="00FA364F"/>
    <w:rsid w:val="00FA3777"/>
    <w:rsid w:val="00FA3AD5"/>
    <w:rsid w:val="00FA458B"/>
    <w:rsid w:val="00FA4ACA"/>
    <w:rsid w:val="00FA4CC2"/>
    <w:rsid w:val="00FA4E83"/>
    <w:rsid w:val="00FA5455"/>
    <w:rsid w:val="00FA5A9B"/>
    <w:rsid w:val="00FA5DFA"/>
    <w:rsid w:val="00FA5E4B"/>
    <w:rsid w:val="00FA5FA0"/>
    <w:rsid w:val="00FA6089"/>
    <w:rsid w:val="00FA609C"/>
    <w:rsid w:val="00FA61C5"/>
    <w:rsid w:val="00FA629B"/>
    <w:rsid w:val="00FA62ED"/>
    <w:rsid w:val="00FA6402"/>
    <w:rsid w:val="00FA6504"/>
    <w:rsid w:val="00FA6AEB"/>
    <w:rsid w:val="00FA72BD"/>
    <w:rsid w:val="00FA757E"/>
    <w:rsid w:val="00FA791C"/>
    <w:rsid w:val="00FA79B4"/>
    <w:rsid w:val="00FA79F7"/>
    <w:rsid w:val="00FA7AC9"/>
    <w:rsid w:val="00FA7C94"/>
    <w:rsid w:val="00FB03EC"/>
    <w:rsid w:val="00FB0410"/>
    <w:rsid w:val="00FB05B5"/>
    <w:rsid w:val="00FB0838"/>
    <w:rsid w:val="00FB0C2C"/>
    <w:rsid w:val="00FB0E08"/>
    <w:rsid w:val="00FB0E92"/>
    <w:rsid w:val="00FB0FC8"/>
    <w:rsid w:val="00FB1013"/>
    <w:rsid w:val="00FB10B6"/>
    <w:rsid w:val="00FB1236"/>
    <w:rsid w:val="00FB1459"/>
    <w:rsid w:val="00FB18CF"/>
    <w:rsid w:val="00FB1B67"/>
    <w:rsid w:val="00FB1D0F"/>
    <w:rsid w:val="00FB1DF9"/>
    <w:rsid w:val="00FB1EF7"/>
    <w:rsid w:val="00FB21E9"/>
    <w:rsid w:val="00FB238F"/>
    <w:rsid w:val="00FB23E3"/>
    <w:rsid w:val="00FB271B"/>
    <w:rsid w:val="00FB2993"/>
    <w:rsid w:val="00FB2D23"/>
    <w:rsid w:val="00FB322B"/>
    <w:rsid w:val="00FB3367"/>
    <w:rsid w:val="00FB377F"/>
    <w:rsid w:val="00FB3F3F"/>
    <w:rsid w:val="00FB44D2"/>
    <w:rsid w:val="00FB47D0"/>
    <w:rsid w:val="00FB51BE"/>
    <w:rsid w:val="00FB55C5"/>
    <w:rsid w:val="00FB5683"/>
    <w:rsid w:val="00FB5A3C"/>
    <w:rsid w:val="00FB5CC1"/>
    <w:rsid w:val="00FB5FA0"/>
    <w:rsid w:val="00FB6261"/>
    <w:rsid w:val="00FB6551"/>
    <w:rsid w:val="00FB65D5"/>
    <w:rsid w:val="00FB65EF"/>
    <w:rsid w:val="00FB69F5"/>
    <w:rsid w:val="00FB6C7F"/>
    <w:rsid w:val="00FB6D9F"/>
    <w:rsid w:val="00FB7A47"/>
    <w:rsid w:val="00FB7A99"/>
    <w:rsid w:val="00FB7AB8"/>
    <w:rsid w:val="00FB7F14"/>
    <w:rsid w:val="00FC0177"/>
    <w:rsid w:val="00FC055F"/>
    <w:rsid w:val="00FC0B2D"/>
    <w:rsid w:val="00FC0CB1"/>
    <w:rsid w:val="00FC0D38"/>
    <w:rsid w:val="00FC0E28"/>
    <w:rsid w:val="00FC0E39"/>
    <w:rsid w:val="00FC1338"/>
    <w:rsid w:val="00FC1C21"/>
    <w:rsid w:val="00FC1CE2"/>
    <w:rsid w:val="00FC1D0F"/>
    <w:rsid w:val="00FC20EC"/>
    <w:rsid w:val="00FC2313"/>
    <w:rsid w:val="00FC284A"/>
    <w:rsid w:val="00FC2A11"/>
    <w:rsid w:val="00FC2E87"/>
    <w:rsid w:val="00FC2F62"/>
    <w:rsid w:val="00FC30E2"/>
    <w:rsid w:val="00FC3519"/>
    <w:rsid w:val="00FC37A4"/>
    <w:rsid w:val="00FC38CB"/>
    <w:rsid w:val="00FC3C42"/>
    <w:rsid w:val="00FC3FA1"/>
    <w:rsid w:val="00FC4224"/>
    <w:rsid w:val="00FC44F2"/>
    <w:rsid w:val="00FC46DA"/>
    <w:rsid w:val="00FC46DB"/>
    <w:rsid w:val="00FC495A"/>
    <w:rsid w:val="00FC49E3"/>
    <w:rsid w:val="00FC4C70"/>
    <w:rsid w:val="00FC4C7D"/>
    <w:rsid w:val="00FC5144"/>
    <w:rsid w:val="00FC518A"/>
    <w:rsid w:val="00FC51BF"/>
    <w:rsid w:val="00FC5A07"/>
    <w:rsid w:val="00FC5C44"/>
    <w:rsid w:val="00FC5C50"/>
    <w:rsid w:val="00FC5CE2"/>
    <w:rsid w:val="00FC5E08"/>
    <w:rsid w:val="00FC6079"/>
    <w:rsid w:val="00FC6239"/>
    <w:rsid w:val="00FC6265"/>
    <w:rsid w:val="00FC65D6"/>
    <w:rsid w:val="00FC67E4"/>
    <w:rsid w:val="00FC6822"/>
    <w:rsid w:val="00FC6832"/>
    <w:rsid w:val="00FC68F1"/>
    <w:rsid w:val="00FC69A5"/>
    <w:rsid w:val="00FC6A1B"/>
    <w:rsid w:val="00FC6A2B"/>
    <w:rsid w:val="00FC7019"/>
    <w:rsid w:val="00FC7166"/>
    <w:rsid w:val="00FC758F"/>
    <w:rsid w:val="00FC7B39"/>
    <w:rsid w:val="00FC7E6B"/>
    <w:rsid w:val="00FD024B"/>
    <w:rsid w:val="00FD0273"/>
    <w:rsid w:val="00FD0377"/>
    <w:rsid w:val="00FD0A4D"/>
    <w:rsid w:val="00FD0C06"/>
    <w:rsid w:val="00FD0C85"/>
    <w:rsid w:val="00FD0E28"/>
    <w:rsid w:val="00FD158A"/>
    <w:rsid w:val="00FD249E"/>
    <w:rsid w:val="00FD27B1"/>
    <w:rsid w:val="00FD2DD8"/>
    <w:rsid w:val="00FD2E74"/>
    <w:rsid w:val="00FD2F02"/>
    <w:rsid w:val="00FD30DE"/>
    <w:rsid w:val="00FD36CF"/>
    <w:rsid w:val="00FD3BED"/>
    <w:rsid w:val="00FD3C93"/>
    <w:rsid w:val="00FD3E5A"/>
    <w:rsid w:val="00FD41F7"/>
    <w:rsid w:val="00FD423A"/>
    <w:rsid w:val="00FD441A"/>
    <w:rsid w:val="00FD4798"/>
    <w:rsid w:val="00FD4953"/>
    <w:rsid w:val="00FD4E07"/>
    <w:rsid w:val="00FD5207"/>
    <w:rsid w:val="00FD5497"/>
    <w:rsid w:val="00FD55C6"/>
    <w:rsid w:val="00FD5838"/>
    <w:rsid w:val="00FD5ECF"/>
    <w:rsid w:val="00FD6521"/>
    <w:rsid w:val="00FD65C3"/>
    <w:rsid w:val="00FD6DA0"/>
    <w:rsid w:val="00FD703A"/>
    <w:rsid w:val="00FD7226"/>
    <w:rsid w:val="00FD7724"/>
    <w:rsid w:val="00FD77A9"/>
    <w:rsid w:val="00FD7A7C"/>
    <w:rsid w:val="00FE0188"/>
    <w:rsid w:val="00FE034E"/>
    <w:rsid w:val="00FE0363"/>
    <w:rsid w:val="00FE047C"/>
    <w:rsid w:val="00FE0AA2"/>
    <w:rsid w:val="00FE0C3C"/>
    <w:rsid w:val="00FE0FF3"/>
    <w:rsid w:val="00FE107B"/>
    <w:rsid w:val="00FE11B3"/>
    <w:rsid w:val="00FE120D"/>
    <w:rsid w:val="00FE1767"/>
    <w:rsid w:val="00FE1D10"/>
    <w:rsid w:val="00FE1FE2"/>
    <w:rsid w:val="00FE22F3"/>
    <w:rsid w:val="00FE23AF"/>
    <w:rsid w:val="00FE2E68"/>
    <w:rsid w:val="00FE2EA7"/>
    <w:rsid w:val="00FE30D9"/>
    <w:rsid w:val="00FE317C"/>
    <w:rsid w:val="00FE343E"/>
    <w:rsid w:val="00FE35D8"/>
    <w:rsid w:val="00FE368B"/>
    <w:rsid w:val="00FE37D2"/>
    <w:rsid w:val="00FE37EC"/>
    <w:rsid w:val="00FE37ED"/>
    <w:rsid w:val="00FE3BDF"/>
    <w:rsid w:val="00FE3C7A"/>
    <w:rsid w:val="00FE403E"/>
    <w:rsid w:val="00FE4A61"/>
    <w:rsid w:val="00FE4FFB"/>
    <w:rsid w:val="00FE5036"/>
    <w:rsid w:val="00FE50A9"/>
    <w:rsid w:val="00FE56C4"/>
    <w:rsid w:val="00FE5881"/>
    <w:rsid w:val="00FE5D58"/>
    <w:rsid w:val="00FE63FB"/>
    <w:rsid w:val="00FE67AF"/>
    <w:rsid w:val="00FE67D2"/>
    <w:rsid w:val="00FE693B"/>
    <w:rsid w:val="00FE6CBD"/>
    <w:rsid w:val="00FE6DF1"/>
    <w:rsid w:val="00FE6EDD"/>
    <w:rsid w:val="00FE72E9"/>
    <w:rsid w:val="00FE7B3C"/>
    <w:rsid w:val="00FE7C0B"/>
    <w:rsid w:val="00FE7D38"/>
    <w:rsid w:val="00FF001B"/>
    <w:rsid w:val="00FF0240"/>
    <w:rsid w:val="00FF028E"/>
    <w:rsid w:val="00FF081E"/>
    <w:rsid w:val="00FF0834"/>
    <w:rsid w:val="00FF08FD"/>
    <w:rsid w:val="00FF0931"/>
    <w:rsid w:val="00FF0B2F"/>
    <w:rsid w:val="00FF0F80"/>
    <w:rsid w:val="00FF0F88"/>
    <w:rsid w:val="00FF0F99"/>
    <w:rsid w:val="00FF1173"/>
    <w:rsid w:val="00FF16F7"/>
    <w:rsid w:val="00FF1962"/>
    <w:rsid w:val="00FF205F"/>
    <w:rsid w:val="00FF211E"/>
    <w:rsid w:val="00FF2DC6"/>
    <w:rsid w:val="00FF2E7E"/>
    <w:rsid w:val="00FF2F74"/>
    <w:rsid w:val="00FF326D"/>
    <w:rsid w:val="00FF344D"/>
    <w:rsid w:val="00FF35A3"/>
    <w:rsid w:val="00FF36C9"/>
    <w:rsid w:val="00FF389C"/>
    <w:rsid w:val="00FF3A5F"/>
    <w:rsid w:val="00FF3AB7"/>
    <w:rsid w:val="00FF3B7F"/>
    <w:rsid w:val="00FF3CB1"/>
    <w:rsid w:val="00FF3D53"/>
    <w:rsid w:val="00FF44B3"/>
    <w:rsid w:val="00FF48DD"/>
    <w:rsid w:val="00FF4A00"/>
    <w:rsid w:val="00FF4B72"/>
    <w:rsid w:val="00FF4ECB"/>
    <w:rsid w:val="00FF5280"/>
    <w:rsid w:val="00FF5683"/>
    <w:rsid w:val="00FF5BC1"/>
    <w:rsid w:val="00FF5BCC"/>
    <w:rsid w:val="00FF5DE0"/>
    <w:rsid w:val="00FF5E3E"/>
    <w:rsid w:val="00FF5EC6"/>
    <w:rsid w:val="00FF62ED"/>
    <w:rsid w:val="00FF6516"/>
    <w:rsid w:val="00FF6A43"/>
    <w:rsid w:val="00FF6C9E"/>
    <w:rsid w:val="00FF6E94"/>
    <w:rsid w:val="00FF7187"/>
    <w:rsid w:val="00FF7B4F"/>
    <w:rsid w:val="00FF7CFC"/>
    <w:rsid w:val="00FF7F78"/>
    <w:rsid w:val="09166B7A"/>
    <w:rsid w:val="0A595696"/>
    <w:rsid w:val="29CB5793"/>
    <w:rsid w:val="2F25445E"/>
    <w:rsid w:val="40C8089C"/>
    <w:rsid w:val="4C2D7924"/>
    <w:rsid w:val="4F7FB5E2"/>
    <w:rsid w:val="571F554A"/>
    <w:rsid w:val="58E36F99"/>
    <w:rsid w:val="5E482534"/>
    <w:rsid w:val="65E376BD"/>
    <w:rsid w:val="66E109AD"/>
    <w:rsid w:val="69ED6720"/>
    <w:rsid w:val="7281273E"/>
    <w:rsid w:val="7DB614C0"/>
    <w:rsid w:val="F38BD101"/>
    <w:rsid w:val="FAD3653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qFormat="1"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ind w:left="1260"/>
      <w:jc w:val="left"/>
    </w:pPr>
    <w:rPr>
      <w:sz w:val="18"/>
      <w:szCs w:val="18"/>
    </w:rPr>
  </w:style>
  <w:style w:type="paragraph" w:styleId="5">
    <w:name w:val="Document Map"/>
    <w:basedOn w:val="1"/>
    <w:semiHidden/>
    <w:qFormat/>
    <w:uiPriority w:val="0"/>
    <w:pPr>
      <w:shd w:val="clear" w:color="auto" w:fill="000080"/>
    </w:pPr>
  </w:style>
  <w:style w:type="paragraph" w:styleId="6">
    <w:name w:val="annotation text"/>
    <w:basedOn w:val="1"/>
    <w:link w:val="79"/>
    <w:qFormat/>
    <w:uiPriority w:val="0"/>
    <w:pPr>
      <w:jc w:val="left"/>
    </w:pPr>
  </w:style>
  <w:style w:type="paragraph" w:styleId="7">
    <w:name w:val="List Bullet 3"/>
    <w:basedOn w:val="1"/>
    <w:qFormat/>
    <w:uiPriority w:val="0"/>
    <w:pPr>
      <w:spacing w:line="360" w:lineRule="exact"/>
    </w:pPr>
    <w:rPr>
      <w:rFonts w:eastAsia="楷体_GB2312"/>
      <w:b/>
      <w:sz w:val="24"/>
    </w:rPr>
  </w:style>
  <w:style w:type="paragraph" w:styleId="8">
    <w:name w:val="Body Text"/>
    <w:basedOn w:val="1"/>
    <w:qFormat/>
    <w:uiPriority w:val="0"/>
    <w:pPr>
      <w:spacing w:after="120"/>
    </w:pPr>
  </w:style>
  <w:style w:type="paragraph" w:styleId="9">
    <w:name w:val="Body Text Indent"/>
    <w:basedOn w:val="1"/>
    <w:qFormat/>
    <w:uiPriority w:val="0"/>
    <w:pPr>
      <w:spacing w:after="120"/>
      <w:ind w:left="420" w:leftChars="200"/>
    </w:pPr>
  </w:style>
  <w:style w:type="paragraph" w:styleId="10">
    <w:name w:val="toc 5"/>
    <w:basedOn w:val="1"/>
    <w:next w:val="1"/>
    <w:semiHidden/>
    <w:qFormat/>
    <w:uiPriority w:val="0"/>
    <w:pPr>
      <w:ind w:left="840"/>
      <w:jc w:val="left"/>
    </w:pPr>
    <w:rPr>
      <w:sz w:val="18"/>
      <w:szCs w:val="18"/>
    </w:rPr>
  </w:style>
  <w:style w:type="paragraph" w:styleId="11">
    <w:name w:val="toc 3"/>
    <w:basedOn w:val="1"/>
    <w:next w:val="1"/>
    <w:semiHidden/>
    <w:qFormat/>
    <w:uiPriority w:val="0"/>
    <w:pPr>
      <w:spacing w:line="380" w:lineRule="atLeast"/>
      <w:jc w:val="left"/>
    </w:pPr>
    <w:rPr>
      <w:rFonts w:eastAsia="楷体_GB2312"/>
      <w:b/>
      <w:iCs/>
      <w:sz w:val="24"/>
    </w:rPr>
  </w:style>
  <w:style w:type="paragraph" w:styleId="12">
    <w:name w:val="toc 8"/>
    <w:basedOn w:val="1"/>
    <w:next w:val="1"/>
    <w:semiHidden/>
    <w:qFormat/>
    <w:uiPriority w:val="0"/>
    <w:pPr>
      <w:ind w:left="1470"/>
      <w:jc w:val="left"/>
    </w:pPr>
    <w:rPr>
      <w:sz w:val="18"/>
      <w:szCs w:val="18"/>
    </w:rPr>
  </w:style>
  <w:style w:type="paragraph" w:styleId="13">
    <w:name w:val="Body Text Indent 2"/>
    <w:basedOn w:val="1"/>
    <w:qFormat/>
    <w:uiPriority w:val="0"/>
    <w:pPr>
      <w:tabs>
        <w:tab w:val="left" w:pos="2340"/>
      </w:tabs>
      <w:spacing w:line="400" w:lineRule="atLeast"/>
      <w:ind w:left="2340" w:leftChars="1114" w:hanging="1"/>
    </w:pPr>
    <w:rPr>
      <w:rFonts w:eastAsia="楷体_GB2312"/>
      <w:sz w:val="24"/>
    </w:rPr>
  </w:style>
  <w:style w:type="paragraph" w:styleId="14">
    <w:name w:val="Balloon Text"/>
    <w:basedOn w:val="1"/>
    <w:semiHidden/>
    <w:qFormat/>
    <w:uiPriority w:val="0"/>
    <w:rPr>
      <w:sz w:val="18"/>
      <w:szCs w:val="18"/>
    </w:rPr>
  </w:style>
  <w:style w:type="paragraph" w:styleId="15">
    <w:name w:val="footer"/>
    <w:basedOn w:val="1"/>
    <w:link w:val="82"/>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before="120" w:after="120"/>
      <w:jc w:val="left"/>
    </w:pPr>
    <w:rPr>
      <w:b/>
      <w:bCs/>
      <w:caps/>
    </w:rPr>
  </w:style>
  <w:style w:type="paragraph" w:styleId="18">
    <w:name w:val="toc 4"/>
    <w:basedOn w:val="1"/>
    <w:next w:val="1"/>
    <w:semiHidden/>
    <w:qFormat/>
    <w:uiPriority w:val="0"/>
    <w:pPr>
      <w:ind w:left="630"/>
      <w:jc w:val="left"/>
    </w:pPr>
    <w:rPr>
      <w:sz w:val="18"/>
      <w:szCs w:val="18"/>
    </w:rPr>
  </w:style>
  <w:style w:type="paragraph" w:styleId="19">
    <w:name w:val="index heading"/>
    <w:basedOn w:val="1"/>
    <w:next w:val="20"/>
    <w:semiHidden/>
    <w:qFormat/>
    <w:uiPriority w:val="0"/>
    <w:rPr>
      <w:rFonts w:ascii="Arial" w:hAnsi="Arial" w:cs="Arial"/>
      <w:b/>
      <w:bCs/>
    </w:rPr>
  </w:style>
  <w:style w:type="paragraph" w:styleId="20">
    <w:name w:val="index 1"/>
    <w:basedOn w:val="1"/>
    <w:next w:val="1"/>
    <w:semiHidden/>
    <w:qFormat/>
    <w:uiPriority w:val="0"/>
  </w:style>
  <w:style w:type="paragraph" w:styleId="21">
    <w:name w:val="footnote text"/>
    <w:basedOn w:val="1"/>
    <w:link w:val="87"/>
    <w:semiHidden/>
    <w:unhideWhenUsed/>
    <w:qFormat/>
    <w:uiPriority w:val="0"/>
    <w:pPr>
      <w:snapToGrid w:val="0"/>
      <w:jc w:val="left"/>
    </w:pPr>
    <w:rPr>
      <w:sz w:val="18"/>
      <w:szCs w:val="18"/>
    </w:rPr>
  </w:style>
  <w:style w:type="paragraph" w:styleId="22">
    <w:name w:val="toc 6"/>
    <w:basedOn w:val="1"/>
    <w:next w:val="1"/>
    <w:semiHidden/>
    <w:qFormat/>
    <w:uiPriority w:val="0"/>
    <w:pPr>
      <w:ind w:left="1050"/>
      <w:jc w:val="left"/>
    </w:pPr>
    <w:rPr>
      <w:sz w:val="18"/>
      <w:szCs w:val="18"/>
    </w:rPr>
  </w:style>
  <w:style w:type="paragraph" w:styleId="23">
    <w:name w:val="Body Text Indent 3"/>
    <w:basedOn w:val="1"/>
    <w:qFormat/>
    <w:uiPriority w:val="0"/>
    <w:pPr>
      <w:spacing w:after="120"/>
      <w:ind w:left="420" w:leftChars="200"/>
    </w:pPr>
    <w:rPr>
      <w:sz w:val="16"/>
      <w:szCs w:val="16"/>
    </w:rPr>
  </w:style>
  <w:style w:type="paragraph" w:styleId="24">
    <w:name w:val="toc 2"/>
    <w:basedOn w:val="1"/>
    <w:next w:val="1"/>
    <w:semiHidden/>
    <w:qFormat/>
    <w:uiPriority w:val="0"/>
    <w:pPr>
      <w:ind w:left="210"/>
      <w:jc w:val="left"/>
    </w:pPr>
    <w:rPr>
      <w:smallCaps/>
    </w:rPr>
  </w:style>
  <w:style w:type="paragraph" w:styleId="25">
    <w:name w:val="toc 9"/>
    <w:basedOn w:val="1"/>
    <w:next w:val="1"/>
    <w:semiHidden/>
    <w:qFormat/>
    <w:uiPriority w:val="0"/>
    <w:pPr>
      <w:ind w:left="1680"/>
      <w:jc w:val="left"/>
    </w:pPr>
    <w:rPr>
      <w:sz w:val="18"/>
      <w:szCs w:val="18"/>
    </w:rPr>
  </w:style>
  <w:style w:type="paragraph" w:styleId="26">
    <w:name w:val="annotation subject"/>
    <w:basedOn w:val="6"/>
    <w:next w:val="6"/>
    <w:semiHidden/>
    <w:qFormat/>
    <w:uiPriority w:val="0"/>
    <w:rPr>
      <w:b/>
      <w:bCs/>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b/>
      <w:bCs/>
    </w:rPr>
  </w:style>
  <w:style w:type="character" w:styleId="31">
    <w:name w:val="page number"/>
    <w:basedOn w:val="29"/>
    <w:qFormat/>
    <w:uiPriority w:val="0"/>
  </w:style>
  <w:style w:type="character" w:styleId="32">
    <w:name w:val="Hyperlink"/>
    <w:qFormat/>
    <w:uiPriority w:val="99"/>
    <w:rPr>
      <w:color w:val="0000FF"/>
      <w:u w:val="single"/>
    </w:rPr>
  </w:style>
  <w:style w:type="character" w:styleId="33">
    <w:name w:val="annotation reference"/>
    <w:qFormat/>
    <w:uiPriority w:val="0"/>
    <w:rPr>
      <w:sz w:val="21"/>
      <w:szCs w:val="21"/>
    </w:rPr>
  </w:style>
  <w:style w:type="character" w:styleId="34">
    <w:name w:val="footnote reference"/>
    <w:basedOn w:val="29"/>
    <w:semiHidden/>
    <w:unhideWhenUsed/>
    <w:qFormat/>
    <w:uiPriority w:val="0"/>
    <w:rPr>
      <w:vertAlign w:val="superscript"/>
    </w:rPr>
  </w:style>
  <w:style w:type="paragraph" w:customStyle="1" w:styleId="35">
    <w:name w:val="1"/>
    <w:basedOn w:val="1"/>
    <w:next w:val="9"/>
    <w:qFormat/>
    <w:uiPriority w:val="0"/>
    <w:pPr>
      <w:spacing w:line="360" w:lineRule="auto"/>
      <w:ind w:firstLine="376"/>
    </w:pPr>
    <w:rPr>
      <w:sz w:val="24"/>
    </w:rPr>
  </w:style>
  <w:style w:type="paragraph" w:customStyle="1" w:styleId="36">
    <w:name w:val="2"/>
    <w:basedOn w:val="1"/>
    <w:next w:val="9"/>
    <w:qFormat/>
    <w:uiPriority w:val="0"/>
    <w:pPr>
      <w:spacing w:after="120"/>
      <w:ind w:left="420" w:leftChars="200"/>
    </w:pPr>
  </w:style>
  <w:style w:type="paragraph" w:customStyle="1" w:styleId="37">
    <w:name w:val="FWB_L1"/>
    <w:basedOn w:val="1"/>
    <w:next w:val="38"/>
    <w:qFormat/>
    <w:uiPriority w:val="0"/>
    <w:pPr>
      <w:keepNext/>
      <w:keepLines/>
      <w:widowControl/>
      <w:numPr>
        <w:ilvl w:val="0"/>
        <w:numId w:val="1"/>
      </w:numPr>
      <w:spacing w:after="240"/>
      <w:jc w:val="left"/>
      <w:outlineLvl w:val="0"/>
    </w:pPr>
    <w:rPr>
      <w:b/>
      <w:smallCaps/>
      <w:sz w:val="24"/>
      <w:lang w:val="en-GB" w:eastAsia="en-US"/>
    </w:rPr>
  </w:style>
  <w:style w:type="paragraph" w:customStyle="1" w:styleId="38">
    <w:name w:val="FWB_L2"/>
    <w:basedOn w:val="37"/>
    <w:qFormat/>
    <w:uiPriority w:val="0"/>
    <w:pPr>
      <w:keepNext w:val="0"/>
      <w:keepLines w:val="0"/>
      <w:numPr>
        <w:ilvl w:val="1"/>
      </w:numPr>
      <w:jc w:val="both"/>
      <w:outlineLvl w:val="9"/>
    </w:pPr>
    <w:rPr>
      <w:b w:val="0"/>
      <w:smallCaps w:val="0"/>
    </w:rPr>
  </w:style>
  <w:style w:type="paragraph" w:customStyle="1" w:styleId="39">
    <w:name w:val="FWB_L3"/>
    <w:basedOn w:val="38"/>
    <w:qFormat/>
    <w:uiPriority w:val="0"/>
    <w:pPr>
      <w:numPr>
        <w:ilvl w:val="0"/>
        <w:numId w:val="0"/>
      </w:numPr>
    </w:pPr>
  </w:style>
  <w:style w:type="paragraph" w:customStyle="1" w:styleId="40">
    <w:name w:val="FWB_L4"/>
    <w:basedOn w:val="39"/>
    <w:qFormat/>
    <w:uiPriority w:val="0"/>
    <w:pPr>
      <w:numPr>
        <w:ilvl w:val="3"/>
        <w:numId w:val="1"/>
      </w:numPr>
    </w:pPr>
  </w:style>
  <w:style w:type="paragraph" w:customStyle="1" w:styleId="41">
    <w:name w:val="FWB_L5"/>
    <w:basedOn w:val="40"/>
    <w:qFormat/>
    <w:uiPriority w:val="0"/>
    <w:pPr>
      <w:numPr>
        <w:ilvl w:val="4"/>
      </w:numPr>
    </w:pPr>
  </w:style>
  <w:style w:type="paragraph" w:customStyle="1" w:styleId="42">
    <w:name w:val="FWB_L6"/>
    <w:basedOn w:val="41"/>
    <w:qFormat/>
    <w:uiPriority w:val="0"/>
    <w:pPr>
      <w:numPr>
        <w:ilvl w:val="5"/>
      </w:numPr>
    </w:pPr>
  </w:style>
  <w:style w:type="paragraph" w:customStyle="1" w:styleId="43">
    <w:name w:val="FWB_L7"/>
    <w:basedOn w:val="42"/>
    <w:qFormat/>
    <w:uiPriority w:val="0"/>
    <w:pPr>
      <w:numPr>
        <w:ilvl w:val="6"/>
      </w:numPr>
    </w:pPr>
  </w:style>
  <w:style w:type="paragraph" w:customStyle="1" w:styleId="44">
    <w:name w:val="FWB_L8"/>
    <w:basedOn w:val="43"/>
    <w:qFormat/>
    <w:uiPriority w:val="0"/>
    <w:pPr>
      <w:numPr>
        <w:ilvl w:val="7"/>
      </w:numPr>
    </w:pPr>
  </w:style>
  <w:style w:type="paragraph" w:customStyle="1" w:styleId="45">
    <w:name w:val="3"/>
    <w:basedOn w:val="1"/>
    <w:next w:val="9"/>
    <w:qFormat/>
    <w:uiPriority w:val="0"/>
    <w:pPr>
      <w:spacing w:line="360" w:lineRule="auto"/>
      <w:ind w:firstLine="560" w:firstLineChars="200"/>
    </w:pPr>
    <w:rPr>
      <w:rFonts w:ascii="仿宋_GB2312" w:eastAsia="仿宋_GB2312"/>
      <w:sz w:val="28"/>
    </w:rPr>
  </w:style>
  <w:style w:type="paragraph" w:customStyle="1" w:styleId="46">
    <w:name w:val="FWB Cont 3"/>
    <w:basedOn w:val="1"/>
    <w:qFormat/>
    <w:uiPriority w:val="0"/>
    <w:pPr>
      <w:widowControl/>
      <w:spacing w:after="240"/>
      <w:ind w:left="720"/>
    </w:pPr>
    <w:rPr>
      <w:sz w:val="24"/>
      <w:lang w:val="en-GB" w:eastAsia="en-US"/>
    </w:rPr>
  </w:style>
  <w:style w:type="paragraph" w:customStyle="1" w:styleId="47">
    <w:name w:val="(a)"/>
    <w:basedOn w:val="8"/>
    <w:qFormat/>
    <w:uiPriority w:val="0"/>
    <w:pPr>
      <w:widowControl/>
      <w:spacing w:after="240"/>
      <w:ind w:left="720" w:hanging="720"/>
    </w:pPr>
    <w:rPr>
      <w:bCs/>
      <w:sz w:val="24"/>
      <w:lang w:val="en-GB" w:eastAsia="en-US"/>
    </w:rPr>
  </w:style>
  <w:style w:type="paragraph" w:customStyle="1" w:styleId="48">
    <w:name w:val="FWB Cont 2"/>
    <w:basedOn w:val="1"/>
    <w:qFormat/>
    <w:uiPriority w:val="0"/>
    <w:pPr>
      <w:widowControl/>
      <w:spacing w:after="240"/>
    </w:pPr>
    <w:rPr>
      <w:sz w:val="24"/>
      <w:lang w:val="en-GB" w:eastAsia="en-US"/>
    </w:rPr>
  </w:style>
  <w:style w:type="paragraph" w:customStyle="1" w:styleId="49">
    <w:name w:val="FWB Cont 4"/>
    <w:basedOn w:val="46"/>
    <w:qFormat/>
    <w:uiPriority w:val="0"/>
    <w:pPr>
      <w:ind w:left="1440"/>
    </w:pPr>
  </w:style>
  <w:style w:type="character" w:customStyle="1" w:styleId="50">
    <w:name w:val="已访问的超链接1"/>
    <w:qFormat/>
    <w:uiPriority w:val="0"/>
    <w:rPr>
      <w:color w:val="800080"/>
      <w:u w:val="single"/>
    </w:rPr>
  </w:style>
  <w:style w:type="paragraph" w:customStyle="1" w:styleId="51">
    <w:name w:val="FWS_L1"/>
    <w:basedOn w:val="1"/>
    <w:next w:val="52"/>
    <w:qFormat/>
    <w:uiPriority w:val="0"/>
    <w:pPr>
      <w:keepNext/>
      <w:keepLines/>
      <w:pageBreakBefore/>
      <w:widowControl/>
      <w:numPr>
        <w:ilvl w:val="0"/>
        <w:numId w:val="2"/>
      </w:numPr>
      <w:spacing w:after="240" w:line="480" w:lineRule="auto"/>
      <w:jc w:val="center"/>
      <w:outlineLvl w:val="0"/>
    </w:pPr>
    <w:rPr>
      <w:b/>
      <w:caps/>
      <w:sz w:val="24"/>
      <w:lang w:val="en-GB" w:eastAsia="en-US"/>
    </w:rPr>
  </w:style>
  <w:style w:type="paragraph" w:customStyle="1" w:styleId="52">
    <w:name w:val="FWS_L2"/>
    <w:basedOn w:val="51"/>
    <w:next w:val="53"/>
    <w:qFormat/>
    <w:uiPriority w:val="0"/>
    <w:pPr>
      <w:pageBreakBefore w:val="0"/>
      <w:numPr>
        <w:ilvl w:val="1"/>
      </w:numPr>
      <w:spacing w:line="240" w:lineRule="auto"/>
      <w:outlineLvl w:val="1"/>
    </w:pPr>
    <w:rPr>
      <w:caps w:val="0"/>
    </w:rPr>
  </w:style>
  <w:style w:type="paragraph" w:customStyle="1" w:styleId="53">
    <w:name w:val="FWS_L3"/>
    <w:basedOn w:val="52"/>
    <w:next w:val="54"/>
    <w:qFormat/>
    <w:uiPriority w:val="0"/>
    <w:pPr>
      <w:numPr>
        <w:ilvl w:val="2"/>
      </w:numPr>
      <w:jc w:val="left"/>
      <w:outlineLvl w:val="2"/>
    </w:pPr>
    <w:rPr>
      <w:smallCaps/>
    </w:rPr>
  </w:style>
  <w:style w:type="paragraph" w:customStyle="1" w:styleId="54">
    <w:name w:val="FWS_L5"/>
    <w:basedOn w:val="55"/>
    <w:qFormat/>
    <w:uiPriority w:val="0"/>
    <w:pPr>
      <w:numPr>
        <w:ilvl w:val="3"/>
      </w:numPr>
    </w:pPr>
  </w:style>
  <w:style w:type="paragraph" w:customStyle="1" w:styleId="55">
    <w:name w:val="FWS_L4"/>
    <w:basedOn w:val="53"/>
    <w:qFormat/>
    <w:uiPriority w:val="0"/>
    <w:pPr>
      <w:keepNext w:val="0"/>
      <w:keepLines w:val="0"/>
      <w:numPr>
        <w:ilvl w:val="4"/>
      </w:numPr>
      <w:jc w:val="both"/>
      <w:outlineLvl w:val="9"/>
    </w:pPr>
    <w:rPr>
      <w:b w:val="0"/>
      <w:smallCaps w:val="0"/>
    </w:rPr>
  </w:style>
  <w:style w:type="paragraph" w:customStyle="1" w:styleId="56">
    <w:name w:val="FWS_L6"/>
    <w:basedOn w:val="54"/>
    <w:qFormat/>
    <w:uiPriority w:val="0"/>
    <w:pPr>
      <w:numPr>
        <w:ilvl w:val="5"/>
      </w:numPr>
    </w:pPr>
  </w:style>
  <w:style w:type="paragraph" w:customStyle="1" w:styleId="57">
    <w:name w:val="FWS_L7"/>
    <w:basedOn w:val="56"/>
    <w:qFormat/>
    <w:uiPriority w:val="0"/>
    <w:pPr>
      <w:numPr>
        <w:ilvl w:val="6"/>
      </w:numPr>
    </w:pPr>
  </w:style>
  <w:style w:type="paragraph" w:customStyle="1" w:styleId="58">
    <w:name w:val="FWS_L8"/>
    <w:basedOn w:val="57"/>
    <w:qFormat/>
    <w:uiPriority w:val="0"/>
    <w:pPr>
      <w:numPr>
        <w:ilvl w:val="7"/>
      </w:numPr>
    </w:pPr>
  </w:style>
  <w:style w:type="paragraph" w:customStyle="1" w:styleId="59">
    <w:name w:val="FWS_L9"/>
    <w:basedOn w:val="58"/>
    <w:qFormat/>
    <w:uiPriority w:val="0"/>
    <w:pPr>
      <w:numPr>
        <w:ilvl w:val="8"/>
      </w:numPr>
    </w:pPr>
  </w:style>
  <w:style w:type="paragraph" w:customStyle="1" w:styleId="60">
    <w:name w:val="Normal (Justified)"/>
    <w:basedOn w:val="1"/>
    <w:link w:val="86"/>
    <w:qFormat/>
    <w:uiPriority w:val="0"/>
    <w:pPr>
      <w:widowControl/>
    </w:pPr>
    <w:rPr>
      <w:snapToGrid w:val="0"/>
      <w:kern w:val="28"/>
      <w:sz w:val="24"/>
    </w:rPr>
  </w:style>
  <w:style w:type="paragraph" w:customStyle="1" w:styleId="61">
    <w:name w:val="Char Char Char Char Char Char Char Char Char Char Char Char Char Char2"/>
    <w:basedOn w:val="1"/>
    <w:qFormat/>
    <w:uiPriority w:val="0"/>
    <w:pPr>
      <w:widowControl/>
      <w:spacing w:after="160" w:line="240" w:lineRule="exact"/>
      <w:jc w:val="left"/>
    </w:pPr>
    <w:rPr>
      <w:rFonts w:ascii="Verdana" w:hAnsi="Verdana" w:eastAsia="Times New Roman"/>
      <w:lang w:eastAsia="en-US"/>
    </w:rPr>
  </w:style>
  <w:style w:type="paragraph" w:customStyle="1" w:styleId="62">
    <w:name w:val="字元 字元 Char Char Char Char"/>
    <w:basedOn w:val="1"/>
    <w:qFormat/>
    <w:uiPriority w:val="0"/>
    <w:pPr>
      <w:widowControl/>
      <w:spacing w:after="160" w:line="240" w:lineRule="exact"/>
      <w:jc w:val="left"/>
    </w:pPr>
    <w:rPr>
      <w:rFonts w:ascii="Verdana" w:hAnsi="Verdana" w:eastAsia="Times New Roman"/>
      <w:lang w:eastAsia="en-US"/>
    </w:rPr>
  </w:style>
  <w:style w:type="character" w:customStyle="1" w:styleId="63">
    <w:name w:val="DeltaView Insertion"/>
    <w:qFormat/>
    <w:uiPriority w:val="0"/>
    <w:rPr>
      <w:color w:val="0000FF"/>
      <w:spacing w:val="0"/>
      <w:u w:val="double"/>
    </w:rPr>
  </w:style>
  <w:style w:type="character" w:customStyle="1" w:styleId="64">
    <w:name w:val="DeltaView Deletion"/>
    <w:qFormat/>
    <w:uiPriority w:val="0"/>
    <w:rPr>
      <w:strike/>
      <w:color w:val="FF0000"/>
      <w:spacing w:val="0"/>
    </w:rPr>
  </w:style>
  <w:style w:type="paragraph" w:customStyle="1" w:styleId="65">
    <w:name w:val="Char Char"/>
    <w:basedOn w:val="1"/>
    <w:qFormat/>
    <w:uiPriority w:val="0"/>
    <w:pPr>
      <w:widowControl/>
      <w:spacing w:after="160" w:line="240" w:lineRule="exact"/>
      <w:jc w:val="left"/>
    </w:pPr>
    <w:rPr>
      <w:rFonts w:ascii="Verdana" w:hAnsi="Verdana" w:eastAsia="Times New Roman"/>
      <w:lang w:eastAsia="en-US"/>
    </w:rPr>
  </w:style>
  <w:style w:type="paragraph" w:customStyle="1" w:styleId="66">
    <w:name w:val="Char Char Char Char Char Char Char Char Char Char Char Char Char Char"/>
    <w:basedOn w:val="1"/>
    <w:qFormat/>
    <w:uiPriority w:val="0"/>
    <w:pPr>
      <w:widowControl/>
      <w:spacing w:after="160" w:line="240" w:lineRule="exact"/>
      <w:jc w:val="left"/>
    </w:pPr>
    <w:rPr>
      <w:rFonts w:ascii="Verdana" w:hAnsi="Verdana" w:eastAsia="Times New Roman"/>
      <w:lang w:eastAsia="en-US"/>
    </w:rPr>
  </w:style>
  <w:style w:type="paragraph" w:customStyle="1" w:styleId="67">
    <w:name w:val="Char Char Char Char Char Char Char Char Char Char Char Char Char Char1"/>
    <w:basedOn w:val="1"/>
    <w:qFormat/>
    <w:uiPriority w:val="0"/>
    <w:pPr>
      <w:widowControl/>
      <w:spacing w:after="160" w:line="240" w:lineRule="exact"/>
      <w:jc w:val="left"/>
    </w:pPr>
    <w:rPr>
      <w:rFonts w:ascii="Verdana" w:hAnsi="Verdana" w:eastAsia="Times New Roman"/>
      <w:lang w:eastAsia="en-US"/>
    </w:rPr>
  </w:style>
  <w:style w:type="paragraph" w:customStyle="1" w:styleId="68">
    <w:name w:val="Index Heading 2"/>
    <w:basedOn w:val="19"/>
    <w:qFormat/>
    <w:uiPriority w:val="0"/>
    <w:pPr>
      <w:widowControl/>
      <w:tabs>
        <w:tab w:val="right" w:pos="8280"/>
      </w:tabs>
      <w:spacing w:after="480"/>
      <w:jc w:val="left"/>
    </w:pPr>
    <w:rPr>
      <w:rFonts w:ascii="Times New Roman" w:hAnsi="Times New Roman" w:cs="Times New Roman"/>
      <w:bCs w:val="0"/>
      <w:caps/>
      <w:sz w:val="24"/>
      <w:lang w:val="en-GB" w:eastAsia="en-US"/>
    </w:rPr>
  </w:style>
  <w:style w:type="paragraph" w:customStyle="1" w:styleId="69">
    <w:name w:val="彩色列表 - 强调文字颜色 11"/>
    <w:basedOn w:val="1"/>
    <w:qFormat/>
    <w:uiPriority w:val="34"/>
    <w:pPr>
      <w:ind w:firstLine="420" w:firstLineChars="200"/>
    </w:pPr>
  </w:style>
  <w:style w:type="paragraph" w:customStyle="1" w:styleId="70">
    <w:name w:val="中等深浅列表 2 - 强调文字颜色 21"/>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中等深浅网格 1 - 强调文字颜色 21"/>
    <w:basedOn w:val="1"/>
    <w:qFormat/>
    <w:uiPriority w:val="0"/>
    <w:pPr>
      <w:ind w:firstLine="420" w:firstLineChars="200"/>
    </w:pPr>
  </w:style>
  <w:style w:type="paragraph" w:customStyle="1" w:styleId="72">
    <w:name w:val="彩色底纹 - 强调文字颜色 11"/>
    <w:hidden/>
    <w:semiHidden/>
    <w:qFormat/>
    <w:uiPriority w:val="99"/>
    <w:rPr>
      <w:rFonts w:ascii="Times New Roman" w:hAnsi="Times New Roman" w:eastAsia="宋体" w:cs="Times New Roman"/>
      <w:kern w:val="2"/>
      <w:sz w:val="21"/>
      <w:szCs w:val="24"/>
      <w:lang w:val="en-US" w:eastAsia="zh-CN" w:bidi="ar-SA"/>
    </w:rPr>
  </w:style>
  <w:style w:type="paragraph" w:customStyle="1" w:styleId="73">
    <w:name w:val="Char Char Char Char Char Char Char Char Char Char Char Char"/>
    <w:basedOn w:val="1"/>
    <w:qFormat/>
    <w:uiPriority w:val="0"/>
    <w:pPr>
      <w:widowControl/>
      <w:spacing w:after="160" w:line="240" w:lineRule="exact"/>
      <w:jc w:val="left"/>
    </w:pPr>
    <w:rPr>
      <w:rFonts w:ascii="Verdana" w:hAnsi="Verdana" w:eastAsia="Times New Roman"/>
      <w:lang w:eastAsia="en-US"/>
    </w:rPr>
  </w:style>
  <w:style w:type="paragraph" w:customStyle="1" w:styleId="74">
    <w:name w:val="彩色底纹 - 强调文字颜色 12"/>
    <w:hidden/>
    <w:semiHidden/>
    <w:qFormat/>
    <w:uiPriority w:val="99"/>
    <w:rPr>
      <w:rFonts w:ascii="Times New Roman" w:hAnsi="Times New Roman" w:eastAsia="宋体" w:cs="Times New Roman"/>
      <w:kern w:val="2"/>
      <w:sz w:val="21"/>
      <w:szCs w:val="24"/>
      <w:lang w:val="en-US" w:eastAsia="zh-CN" w:bidi="ar-SA"/>
    </w:rPr>
  </w:style>
  <w:style w:type="paragraph" w:customStyle="1" w:styleId="75">
    <w:name w:val="彩色列表 - 强调文字颜色 12"/>
    <w:basedOn w:val="1"/>
    <w:qFormat/>
    <w:uiPriority w:val="34"/>
    <w:pPr>
      <w:ind w:firstLine="420" w:firstLineChars="200"/>
    </w:pPr>
  </w:style>
  <w:style w:type="paragraph" w:customStyle="1" w:styleId="76">
    <w:name w:val="Char Char Char Char Char Char Char Char Char Char"/>
    <w:basedOn w:val="1"/>
    <w:qFormat/>
    <w:uiPriority w:val="0"/>
    <w:pPr>
      <w:widowControl/>
      <w:spacing w:after="160" w:line="240" w:lineRule="exact"/>
      <w:jc w:val="left"/>
    </w:pPr>
  </w:style>
  <w:style w:type="paragraph" w:customStyle="1" w:styleId="77">
    <w:name w:val="修订1"/>
    <w:hidden/>
    <w:semiHidden/>
    <w:qFormat/>
    <w:uiPriority w:val="99"/>
    <w:rPr>
      <w:rFonts w:ascii="Times New Roman" w:hAnsi="Times New Roman" w:eastAsia="宋体" w:cs="Times New Roman"/>
      <w:kern w:val="2"/>
      <w:sz w:val="21"/>
      <w:szCs w:val="24"/>
      <w:lang w:val="en-US" w:eastAsia="zh-CN" w:bidi="ar-SA"/>
    </w:rPr>
  </w:style>
  <w:style w:type="paragraph" w:styleId="78">
    <w:name w:val="List Paragraph"/>
    <w:basedOn w:val="1"/>
    <w:qFormat/>
    <w:uiPriority w:val="34"/>
    <w:pPr>
      <w:ind w:firstLine="420" w:firstLineChars="200"/>
    </w:pPr>
  </w:style>
  <w:style w:type="character" w:customStyle="1" w:styleId="79">
    <w:name w:val="批注文字 字符"/>
    <w:link w:val="6"/>
    <w:qFormat/>
    <w:uiPriority w:val="0"/>
    <w:rPr>
      <w:kern w:val="2"/>
      <w:sz w:val="21"/>
      <w:szCs w:val="24"/>
    </w:rPr>
  </w:style>
  <w:style w:type="paragraph" w:customStyle="1" w:styleId="80">
    <w:name w:val="浅色网格 - 强调文字颜色 31"/>
    <w:basedOn w:val="1"/>
    <w:qFormat/>
    <w:uiPriority w:val="34"/>
    <w:pPr>
      <w:widowControl/>
      <w:ind w:firstLine="420" w:firstLineChars="200"/>
      <w:jc w:val="left"/>
    </w:pPr>
    <w:rPr>
      <w:rFonts w:eastAsia="PMingLiU"/>
      <w:sz w:val="24"/>
      <w:lang w:eastAsia="zh-TW"/>
    </w:rPr>
  </w:style>
  <w:style w:type="character" w:customStyle="1" w:styleId="81">
    <w:name w:val="已访问的超链接2"/>
    <w:qFormat/>
    <w:uiPriority w:val="0"/>
    <w:rPr>
      <w:color w:val="800080"/>
      <w:u w:val="single"/>
    </w:rPr>
  </w:style>
  <w:style w:type="character" w:customStyle="1" w:styleId="82">
    <w:name w:val="页脚 字符"/>
    <w:basedOn w:val="29"/>
    <w:link w:val="15"/>
    <w:qFormat/>
    <w:uiPriority w:val="99"/>
    <w:rPr>
      <w:kern w:val="2"/>
      <w:sz w:val="18"/>
      <w:szCs w:val="18"/>
    </w:rPr>
  </w:style>
  <w:style w:type="paragraph" w:customStyle="1" w:styleId="83">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84">
    <w:name w:val="未处理的提及1"/>
    <w:basedOn w:val="29"/>
    <w:semiHidden/>
    <w:unhideWhenUsed/>
    <w:qFormat/>
    <w:uiPriority w:val="99"/>
    <w:rPr>
      <w:color w:val="605E5C"/>
      <w:shd w:val="clear" w:color="auto" w:fill="E1DFDD"/>
    </w:rPr>
  </w:style>
  <w:style w:type="paragraph" w:customStyle="1" w:styleId="8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86">
    <w:name w:val="Normal (Justified)[858D7CFB-ED40-4347-BF05-701D383B685F]"/>
    <w:link w:val="60"/>
    <w:qFormat/>
    <w:uiPriority w:val="0"/>
    <w:rPr>
      <w:snapToGrid w:val="0"/>
      <w:kern w:val="28"/>
      <w:sz w:val="24"/>
    </w:rPr>
  </w:style>
  <w:style w:type="character" w:customStyle="1" w:styleId="87">
    <w:name w:val="脚注文本 字符"/>
    <w:basedOn w:val="29"/>
    <w:link w:val="21"/>
    <w:semiHidden/>
    <w:qFormat/>
    <w:uiPriority w:val="0"/>
    <w:rPr>
      <w:kern w:val="2"/>
      <w:sz w:val="18"/>
      <w:szCs w:val="18"/>
    </w:rPr>
  </w:style>
  <w:style w:type="paragraph" w:customStyle="1" w:styleId="88">
    <w:name w:val="目录 11"/>
    <w:basedOn w:val="1"/>
    <w:next w:val="1"/>
    <w:qFormat/>
    <w:uiPriority w:val="39"/>
    <w:pPr>
      <w:tabs>
        <w:tab w:val="left" w:pos="630"/>
        <w:tab w:val="right" w:leader="dot" w:pos="8296"/>
      </w:tabs>
      <w:spacing w:before="120" w:after="120"/>
      <w:jc w:val="left"/>
    </w:pPr>
    <w:rPr>
      <w:rFonts w:eastAsia="Times New Roman"/>
      <w:b/>
      <w:bCs/>
      <w:caps/>
      <w:sz w:val="24"/>
    </w:rPr>
  </w:style>
  <w:style w:type="paragraph" w:customStyle="1" w:styleId="89">
    <w:name w:val="修订3"/>
    <w:hidden/>
    <w:unhideWhenUsed/>
    <w:qFormat/>
    <w:uiPriority w:val="99"/>
    <w:rPr>
      <w:rFonts w:ascii="Times New Roman" w:hAnsi="Times New Roman" w:eastAsia="宋体" w:cs="Times New Roman"/>
      <w:lang w:val="en-US" w:eastAsia="zh-CN" w:bidi="ar-SA"/>
    </w:rPr>
  </w:style>
  <w:style w:type="paragraph" w:customStyle="1" w:styleId="90">
    <w:name w:val="修订4"/>
    <w:hidden/>
    <w:unhideWhenUsed/>
    <w:qFormat/>
    <w:uiPriority w:val="99"/>
    <w:rPr>
      <w:rFonts w:ascii="Times New Roman" w:hAnsi="Times New Roman" w:eastAsia="宋体" w:cs="Times New Roman"/>
      <w:lang w:val="en-US" w:eastAsia="zh-CN" w:bidi="ar-SA"/>
    </w:rPr>
  </w:style>
  <w:style w:type="paragraph" w:customStyle="1" w:styleId="91">
    <w:name w:val="修订5"/>
    <w:hidden/>
    <w:unhideWhenUsed/>
    <w:qFormat/>
    <w:uiPriority w:val="99"/>
    <w:rPr>
      <w:rFonts w:ascii="Times New Roman" w:hAnsi="Times New Roman" w:eastAsia="宋体" w:cs="Times New Roman"/>
      <w:lang w:val="en-US" w:eastAsia="zh-CN" w:bidi="ar-SA"/>
    </w:rPr>
  </w:style>
  <w:style w:type="paragraph" w:customStyle="1" w:styleId="92">
    <w:name w:val="Revision"/>
    <w:hidden/>
    <w:unhideWhenUsed/>
    <w:qFormat/>
    <w:uiPriority w:val="99"/>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1344B7B9-7C31-4716-A05A-59EA11E45A17}">
  <ds:schemaRefs/>
</ds:datastoreItem>
</file>

<file path=docProps/app.xml><?xml version="1.0" encoding="utf-8"?>
<Properties xmlns="http://schemas.openxmlformats.org/officeDocument/2006/extended-properties" xmlns:vt="http://schemas.openxmlformats.org/officeDocument/2006/docPropsVTypes">
  <Template>Normal</Template>
  <Company>中伦</Company>
  <Pages>125</Pages>
  <Words>21981</Words>
  <Characters>22281</Characters>
  <Lines>532</Lines>
  <Paragraphs>149</Paragraphs>
  <TotalTime>330</TotalTime>
  <ScaleCrop>false</ScaleCrop>
  <LinksUpToDate>false</LinksUpToDate>
  <CharactersWithSpaces>22366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2026-02-10T04:11:00Z</dcterms:created>
  <dc:creator>中伦ABS团队</dc:creator>
  <cp:lastModifiedBy>赵澍</cp:lastModifiedBy>
  <cp:lastPrinted>2026-01-26T17:10:00Z</cp:lastPrinted>
  <dcterms:modified xsi:type="dcterms:W3CDTF">2026-05-06T05:36:55Z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eyJoZGlkIjoiOTc3M2Y5NzIzMDFlZjAyY2Q4Njk5ODkyYjFjNzBiNTQiLCJ1c2VySWQiOiI1MDczOTAyNjIifQ==</vt:lpwstr>
  </property>
  <property fmtid="{D5CDD505-2E9C-101B-9397-08002B2CF9AE}" pid="4" name="ICV">
    <vt:lpwstr>7FCF41CE876A48FA80B808FA93A9180C_13</vt:lpwstr>
  </property>
</Properties>
</file>